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D8" w:rsidRPr="00A6515E" w:rsidRDefault="00FB6AD8" w:rsidP="00A6515E">
      <w:pPr>
        <w:spacing w:before="0"/>
        <w:rPr>
          <w:sz w:val="48"/>
          <w:szCs w:val="48"/>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7048"/>
        <w:gridCol w:w="2308"/>
      </w:tblGrid>
      <w:tr w:rsidR="001B0FBE" w:rsidRPr="007969D6" w:rsidTr="001D1116">
        <w:trPr>
          <w:trHeight w:val="2112"/>
        </w:trPr>
        <w:tc>
          <w:tcPr>
            <w:tcW w:w="7048" w:type="dxa"/>
            <w:tcBorders>
              <w:bottom w:val="single" w:sz="4" w:space="0" w:color="auto"/>
            </w:tcBorders>
          </w:tcPr>
          <w:tbl>
            <w:tblPr>
              <w:tblStyle w:val="Tabellenraster"/>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418"/>
              <w:gridCol w:w="4253"/>
            </w:tblGrid>
            <w:tr w:rsidR="001B0FBE" w:rsidRPr="00F62516" w:rsidTr="001D1116">
              <w:trPr>
                <w:trHeight w:val="1021"/>
              </w:trPr>
              <w:tc>
                <w:tcPr>
                  <w:tcW w:w="1418" w:type="dxa"/>
                  <w:tcBorders>
                    <w:bottom w:val="nil"/>
                  </w:tcBorders>
                </w:tcPr>
                <w:p w:rsidR="001B0FBE" w:rsidRPr="00F62516" w:rsidRDefault="001B0FBE" w:rsidP="001D1116">
                  <w:pPr>
                    <w:spacing w:before="100" w:beforeAutospacing="1" w:after="100" w:afterAutospacing="1"/>
                    <w:contextualSpacing/>
                    <w:rPr>
                      <w:rFonts w:ascii="Arial" w:hAnsi="Arial" w:cs="Arial"/>
                      <w:b/>
                      <w:sz w:val="18"/>
                      <w:szCs w:val="18"/>
                    </w:rPr>
                  </w:pPr>
                  <w:r>
                    <w:rPr>
                      <w:noProof/>
                      <w:lang w:eastAsia="de-AT"/>
                    </w:rPr>
                    <mc:AlternateContent>
                      <mc:Choice Requires="wps">
                        <w:drawing>
                          <wp:anchor distT="0" distB="0" distL="114300" distR="114300" simplePos="0" relativeHeight="251660288" behindDoc="1" locked="0" layoutInCell="1" allowOverlap="1" wp14:anchorId="41AF4B87" wp14:editId="7CF15D65">
                            <wp:simplePos x="0" y="0"/>
                            <wp:positionH relativeFrom="column">
                              <wp:posOffset>-109689</wp:posOffset>
                            </wp:positionH>
                            <wp:positionV relativeFrom="paragraph">
                              <wp:posOffset>-200412</wp:posOffset>
                            </wp:positionV>
                            <wp:extent cx="3442914" cy="502920"/>
                            <wp:effectExtent l="0" t="0" r="571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14"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FBE" w:rsidRDefault="001B0FBE" w:rsidP="001B0FBE">
                                        <w:pPr>
                                          <w:rPr>
                                            <w:rFonts w:ascii="Arial" w:hAnsi="Arial" w:cs="Arial"/>
                                            <w:b/>
                                            <w:sz w:val="40"/>
                                            <w:szCs w:val="40"/>
                                            <w:lang w:val="de-DE"/>
                                          </w:rPr>
                                        </w:pPr>
                                        <w:r>
                                          <w:rPr>
                                            <w:rFonts w:ascii="Arial" w:hAnsi="Arial" w:cs="Arial"/>
                                            <w:b/>
                                            <w:sz w:val="40"/>
                                            <w:szCs w:val="40"/>
                                            <w:lang w:val="de-DE"/>
                                          </w:rPr>
                                          <w:t>PRESSEMITTEILUNG</w:t>
                                        </w:r>
                                      </w:p>
                                      <w:p w:rsidR="001B0FBE" w:rsidRPr="001266C2" w:rsidRDefault="001B0FBE" w:rsidP="001B0FBE">
                                        <w:pPr>
                                          <w:rPr>
                                            <w:rFonts w:ascii="Arial" w:hAnsi="Arial" w:cs="Arial"/>
                                            <w:b/>
                                            <w:sz w:val="40"/>
                                            <w:szCs w:val="40"/>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AF4B87" id="_x0000_t202" coordsize="21600,21600" o:spt="202" path="m,l,21600r21600,l21600,xe">
                            <v:stroke joinstyle="miter"/>
                            <v:path gradientshapeok="t" o:connecttype="rect"/>
                          </v:shapetype>
                          <v:shape id="Text Box 2" o:spid="_x0000_s1026" type="#_x0000_t202" style="position:absolute;left:0;text-align:left;margin-left:-8.65pt;margin-top:-15.8pt;width:271.1pt;height: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xUggIAAA8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" stroked="f">
                            <v:textbox>
                              <w:txbxContent>
                                <w:p w:rsidR="001B0FBE" w:rsidRDefault="001B0FBE" w:rsidP="001B0FBE">
                                  <w:pPr>
                                    <w:rPr>
                                      <w:rFonts w:ascii="Arial" w:hAnsi="Arial" w:cs="Arial"/>
                                      <w:b/>
                                      <w:sz w:val="40"/>
                                      <w:szCs w:val="40"/>
                                      <w:lang w:val="de-DE"/>
                                    </w:rPr>
                                  </w:pPr>
                                  <w:r>
                                    <w:rPr>
                                      <w:rFonts w:ascii="Arial" w:hAnsi="Arial" w:cs="Arial"/>
                                      <w:b/>
                                      <w:sz w:val="40"/>
                                      <w:szCs w:val="40"/>
                                      <w:lang w:val="de-DE"/>
                                    </w:rPr>
                                    <w:t>PRESSEMITTEILUNG</w:t>
                                  </w:r>
                                </w:p>
                                <w:p w:rsidR="001B0FBE" w:rsidRPr="001266C2" w:rsidRDefault="001B0FBE" w:rsidP="001B0FBE">
                                  <w:pPr>
                                    <w:rPr>
                                      <w:rFonts w:ascii="Arial" w:hAnsi="Arial" w:cs="Arial"/>
                                      <w:b/>
                                      <w:sz w:val="40"/>
                                      <w:szCs w:val="40"/>
                                      <w:lang w:val="de-DE"/>
                                    </w:rPr>
                                  </w:pPr>
                                </w:p>
                              </w:txbxContent>
                            </v:textbox>
                          </v:shape>
                        </w:pict>
                      </mc:Fallback>
                    </mc:AlternateContent>
                  </w:r>
                </w:p>
              </w:tc>
              <w:tc>
                <w:tcPr>
                  <w:tcW w:w="4253" w:type="dxa"/>
                  <w:tcBorders>
                    <w:bottom w:val="nil"/>
                  </w:tcBorders>
                </w:tcPr>
                <w:p w:rsidR="001B0FBE" w:rsidRPr="00F62516" w:rsidRDefault="001B0FBE" w:rsidP="001D1116">
                  <w:pPr>
                    <w:contextualSpacing/>
                    <w:rPr>
                      <w:rFonts w:ascii="Arial" w:hAnsi="Arial" w:cs="Arial"/>
                      <w:b/>
                      <w:sz w:val="18"/>
                      <w:szCs w:val="18"/>
                    </w:rPr>
                  </w:pPr>
                </w:p>
              </w:tc>
            </w:tr>
            <w:tr w:rsidR="001B0FBE" w:rsidRPr="00F62516" w:rsidTr="001D1116">
              <w:trPr>
                <w:trHeight w:val="340"/>
              </w:trPr>
              <w:tc>
                <w:tcPr>
                  <w:tcW w:w="1418" w:type="dxa"/>
                  <w:tcBorders>
                    <w:bottom w:val="dashSmallGap" w:sz="4" w:space="0" w:color="auto"/>
                  </w:tcBorders>
                </w:tcPr>
                <w:p w:rsidR="001B0FBE" w:rsidRPr="00F62516" w:rsidRDefault="001B0FBE" w:rsidP="001D1116">
                  <w:pPr>
                    <w:spacing w:before="0"/>
                    <w:rPr>
                      <w:rFonts w:ascii="Arial" w:hAnsi="Arial" w:cs="Arial"/>
                      <w:b/>
                      <w:sz w:val="18"/>
                      <w:szCs w:val="18"/>
                    </w:rPr>
                  </w:pPr>
                  <w:r w:rsidRPr="00F62516">
                    <w:rPr>
                      <w:rFonts w:ascii="Arial" w:hAnsi="Arial" w:cs="Arial"/>
                      <w:b/>
                      <w:sz w:val="18"/>
                      <w:szCs w:val="18"/>
                    </w:rPr>
                    <w:t>Dat</w:t>
                  </w:r>
                  <w:r>
                    <w:rPr>
                      <w:rFonts w:ascii="Arial" w:hAnsi="Arial" w:cs="Arial"/>
                      <w:b/>
                      <w:sz w:val="18"/>
                      <w:szCs w:val="18"/>
                    </w:rPr>
                    <w:t>um</w:t>
                  </w:r>
                </w:p>
              </w:tc>
              <w:tc>
                <w:tcPr>
                  <w:tcW w:w="4253" w:type="dxa"/>
                  <w:tcBorders>
                    <w:bottom w:val="dashSmallGap" w:sz="4" w:space="0" w:color="auto"/>
                  </w:tcBorders>
                </w:tcPr>
                <w:p w:rsidR="001B0FBE" w:rsidRPr="001C6E08" w:rsidRDefault="007C61B5" w:rsidP="00CD28C1">
                  <w:pPr>
                    <w:spacing w:before="0"/>
                    <w:rPr>
                      <w:rFonts w:ascii="Arial" w:hAnsi="Arial" w:cs="Arial"/>
                      <w:sz w:val="18"/>
                      <w:szCs w:val="18"/>
                    </w:rPr>
                  </w:pPr>
                  <w:r>
                    <w:rPr>
                      <w:rFonts w:ascii="Arial" w:hAnsi="Arial" w:cs="Arial"/>
                      <w:sz w:val="18"/>
                      <w:szCs w:val="18"/>
                    </w:rPr>
                    <w:t>13</w:t>
                  </w:r>
                  <w:r w:rsidR="00C02CE9">
                    <w:rPr>
                      <w:rFonts w:ascii="Arial" w:hAnsi="Arial" w:cs="Arial"/>
                      <w:sz w:val="18"/>
                      <w:szCs w:val="18"/>
                    </w:rPr>
                    <w:t>. Oktober</w:t>
                  </w:r>
                  <w:r w:rsidR="001C6E08">
                    <w:rPr>
                      <w:rFonts w:ascii="Arial" w:hAnsi="Arial" w:cs="Arial"/>
                      <w:sz w:val="18"/>
                      <w:szCs w:val="18"/>
                    </w:rPr>
                    <w:t xml:space="preserve"> 2014</w:t>
                  </w:r>
                </w:p>
              </w:tc>
            </w:tr>
            <w:tr w:rsidR="001B0FBE" w:rsidRPr="00F62516" w:rsidTr="001D1116">
              <w:trPr>
                <w:trHeight w:val="340"/>
              </w:trPr>
              <w:tc>
                <w:tcPr>
                  <w:tcW w:w="1418" w:type="dxa"/>
                  <w:tcBorders>
                    <w:top w:val="dashSmallGap" w:sz="4" w:space="0" w:color="auto"/>
                    <w:bottom w:val="dashSmallGap" w:sz="4" w:space="0" w:color="auto"/>
                  </w:tcBorders>
                </w:tcPr>
                <w:p w:rsidR="001B0FBE" w:rsidRPr="00F62516" w:rsidRDefault="001B0FBE" w:rsidP="001D1116">
                  <w:pPr>
                    <w:spacing w:before="0"/>
                    <w:rPr>
                      <w:rFonts w:ascii="Arial" w:hAnsi="Arial" w:cs="Arial"/>
                      <w:b/>
                      <w:sz w:val="18"/>
                      <w:szCs w:val="18"/>
                    </w:rPr>
                  </w:pPr>
                  <w:r>
                    <w:rPr>
                      <w:rFonts w:ascii="Arial" w:hAnsi="Arial" w:cs="Arial"/>
                      <w:b/>
                      <w:sz w:val="18"/>
                      <w:szCs w:val="18"/>
                    </w:rPr>
                    <w:t>Seite(n)</w:t>
                  </w:r>
                </w:p>
              </w:tc>
              <w:tc>
                <w:tcPr>
                  <w:tcW w:w="4253" w:type="dxa"/>
                  <w:tcBorders>
                    <w:top w:val="dashSmallGap" w:sz="4" w:space="0" w:color="auto"/>
                    <w:bottom w:val="dashSmallGap" w:sz="4" w:space="0" w:color="auto"/>
                  </w:tcBorders>
                </w:tcPr>
                <w:p w:rsidR="001B0FBE" w:rsidRPr="00F62516" w:rsidRDefault="007C61B5" w:rsidP="001D1116">
                  <w:pPr>
                    <w:spacing w:before="0"/>
                    <w:rPr>
                      <w:rFonts w:ascii="Arial" w:hAnsi="Arial" w:cs="Arial"/>
                      <w:sz w:val="18"/>
                      <w:szCs w:val="18"/>
                    </w:rPr>
                  </w:pPr>
                  <w:r>
                    <w:rPr>
                      <w:rFonts w:ascii="Arial" w:hAnsi="Arial" w:cs="Arial"/>
                      <w:sz w:val="18"/>
                      <w:szCs w:val="18"/>
                    </w:rPr>
                    <w:t>3</w:t>
                  </w:r>
                </w:p>
              </w:tc>
            </w:tr>
            <w:tr w:rsidR="001B0FBE" w:rsidRPr="00107DF3" w:rsidTr="001D1116">
              <w:trPr>
                <w:trHeight w:val="340"/>
              </w:trPr>
              <w:tc>
                <w:tcPr>
                  <w:tcW w:w="1418" w:type="dxa"/>
                  <w:tcBorders>
                    <w:top w:val="dashSmallGap" w:sz="4" w:space="0" w:color="auto"/>
                    <w:bottom w:val="nil"/>
                  </w:tcBorders>
                </w:tcPr>
                <w:p w:rsidR="001B0FBE" w:rsidRPr="00F62516" w:rsidRDefault="001B0FBE" w:rsidP="001D1116">
                  <w:pPr>
                    <w:spacing w:before="0" w:after="240"/>
                    <w:rPr>
                      <w:rFonts w:ascii="Arial" w:hAnsi="Arial" w:cs="Arial"/>
                      <w:b/>
                      <w:sz w:val="18"/>
                      <w:szCs w:val="18"/>
                    </w:rPr>
                  </w:pPr>
                  <w:r>
                    <w:rPr>
                      <w:rFonts w:ascii="Arial" w:hAnsi="Arial" w:cs="Arial"/>
                      <w:b/>
                      <w:sz w:val="18"/>
                      <w:szCs w:val="18"/>
                    </w:rPr>
                    <w:t>Betreff</w:t>
                  </w:r>
                </w:p>
              </w:tc>
              <w:tc>
                <w:tcPr>
                  <w:tcW w:w="4253" w:type="dxa"/>
                  <w:tcBorders>
                    <w:top w:val="dashSmallGap" w:sz="4" w:space="0" w:color="auto"/>
                    <w:bottom w:val="nil"/>
                  </w:tcBorders>
                </w:tcPr>
                <w:p w:rsidR="001B0FBE" w:rsidRPr="00107DF3" w:rsidRDefault="00107DF3" w:rsidP="006D4773">
                  <w:pPr>
                    <w:spacing w:before="0" w:after="240"/>
                    <w:rPr>
                      <w:rFonts w:ascii="Arial" w:hAnsi="Arial" w:cs="Arial"/>
                      <w:sz w:val="18"/>
                      <w:szCs w:val="18"/>
                      <w:lang w:val="en-US"/>
                    </w:rPr>
                  </w:pPr>
                  <w:r w:rsidRPr="00107DF3">
                    <w:rPr>
                      <w:rFonts w:ascii="Arial Narrow" w:hAnsi="Arial Narrow"/>
                      <w:b/>
                      <w:sz w:val="20"/>
                      <w:lang w:val="en-US"/>
                    </w:rPr>
                    <w:t xml:space="preserve">European </w:t>
                  </w:r>
                  <w:r w:rsidR="00C02CE9" w:rsidRPr="00107DF3">
                    <w:rPr>
                      <w:rFonts w:ascii="Arial Narrow" w:hAnsi="Arial Narrow"/>
                      <w:b/>
                      <w:sz w:val="20"/>
                      <w:lang w:val="en-US"/>
                    </w:rPr>
                    <w:t>M&amp;A Outlook</w:t>
                  </w:r>
                  <w:r w:rsidR="00EB0460" w:rsidRPr="00107DF3">
                    <w:rPr>
                      <w:rFonts w:ascii="Arial Narrow" w:hAnsi="Arial Narrow"/>
                      <w:b/>
                      <w:sz w:val="20"/>
                      <w:lang w:val="en-US"/>
                    </w:rPr>
                    <w:t xml:space="preserve"> 2014</w:t>
                  </w:r>
                </w:p>
              </w:tc>
            </w:tr>
          </w:tbl>
          <w:p w:rsidR="001B0FBE" w:rsidRPr="00107DF3" w:rsidRDefault="001B0FBE" w:rsidP="001D1116">
            <w:pPr>
              <w:spacing w:before="0"/>
              <w:contextualSpacing/>
              <w:rPr>
                <w:sz w:val="16"/>
                <w:szCs w:val="16"/>
                <w:lang w:val="en-US"/>
              </w:rPr>
            </w:pPr>
          </w:p>
        </w:tc>
        <w:tc>
          <w:tcPr>
            <w:tcW w:w="2308" w:type="dxa"/>
            <w:tcBorders>
              <w:bottom w:val="single" w:sz="4" w:space="0" w:color="auto"/>
            </w:tcBorders>
          </w:tcPr>
          <w:p w:rsidR="001B0FBE" w:rsidRPr="007969D6" w:rsidRDefault="001B0FBE" w:rsidP="001D1116">
            <w:pPr>
              <w:shd w:val="solid" w:color="FFFFFF" w:fill="FFFFFF"/>
              <w:spacing w:before="0" w:line="220" w:lineRule="exact"/>
              <w:rPr>
                <w:rFonts w:ascii="Arial" w:hAnsi="Arial" w:cs="Arial"/>
                <w:b/>
                <w:color w:val="000000" w:themeColor="text1"/>
                <w:sz w:val="15"/>
                <w:szCs w:val="15"/>
              </w:rPr>
            </w:pPr>
            <w:r w:rsidRPr="007969D6">
              <w:rPr>
                <w:rFonts w:ascii="Arial" w:hAnsi="Arial" w:cs="Arial"/>
                <w:b/>
                <w:color w:val="000000" w:themeColor="text1"/>
                <w:sz w:val="15"/>
                <w:szCs w:val="15"/>
              </w:rPr>
              <w:t>CMS Reich-Rohrwig Hainz</w:t>
            </w:r>
            <w:r w:rsidRPr="007969D6">
              <w:rPr>
                <w:rFonts w:ascii="Arial" w:hAnsi="Arial" w:cs="Arial"/>
                <w:b/>
                <w:color w:val="000000" w:themeColor="text1"/>
                <w:sz w:val="15"/>
                <w:szCs w:val="15"/>
              </w:rPr>
              <w:br/>
              <w:t>Rechtsanwälte GmbH</w:t>
            </w:r>
          </w:p>
          <w:p w:rsidR="001B0FBE" w:rsidRPr="007969D6" w:rsidRDefault="001B0FBE" w:rsidP="001D1116">
            <w:pPr>
              <w:shd w:val="solid" w:color="FFFFFF" w:fill="FFFFFF"/>
              <w:spacing w:before="0" w:line="220" w:lineRule="exact"/>
              <w:rPr>
                <w:rFonts w:ascii="Arial" w:hAnsi="Arial" w:cs="Arial"/>
                <w:color w:val="000000" w:themeColor="text1"/>
                <w:sz w:val="15"/>
                <w:szCs w:val="15"/>
              </w:rPr>
            </w:pPr>
            <w:r w:rsidRPr="007969D6">
              <w:rPr>
                <w:rFonts w:ascii="Arial" w:hAnsi="Arial" w:cs="Arial"/>
                <w:color w:val="000000" w:themeColor="text1"/>
                <w:sz w:val="15"/>
                <w:szCs w:val="15"/>
              </w:rPr>
              <w:t>Gauermanngasse 2</w:t>
            </w:r>
          </w:p>
          <w:p w:rsidR="001B0FBE" w:rsidRPr="007969D6" w:rsidRDefault="001B0FBE" w:rsidP="001D1116">
            <w:pPr>
              <w:shd w:val="solid" w:color="FFFFFF" w:fill="FFFFFF"/>
              <w:spacing w:before="0" w:line="220" w:lineRule="exact"/>
              <w:rPr>
                <w:rFonts w:ascii="Arial" w:hAnsi="Arial" w:cs="Arial"/>
                <w:color w:val="000000" w:themeColor="text1"/>
                <w:sz w:val="15"/>
                <w:szCs w:val="15"/>
              </w:rPr>
            </w:pPr>
            <w:r>
              <w:rPr>
                <w:rFonts w:ascii="Arial" w:hAnsi="Arial" w:cs="Arial"/>
                <w:color w:val="000000" w:themeColor="text1"/>
                <w:sz w:val="15"/>
                <w:szCs w:val="15"/>
              </w:rPr>
              <w:t>1010 Wien</w:t>
            </w:r>
          </w:p>
          <w:p w:rsidR="001B0FBE" w:rsidRPr="007969D6" w:rsidRDefault="001B0FBE" w:rsidP="001D1116">
            <w:pPr>
              <w:shd w:val="solid" w:color="FFFFFF" w:fill="FFFFFF"/>
              <w:spacing w:before="0" w:line="220" w:lineRule="exact"/>
              <w:rPr>
                <w:rFonts w:ascii="Arial" w:hAnsi="Arial" w:cs="Arial"/>
                <w:color w:val="000000" w:themeColor="text1"/>
                <w:sz w:val="15"/>
                <w:szCs w:val="15"/>
              </w:rPr>
            </w:pPr>
          </w:p>
          <w:p w:rsidR="001B0FBE" w:rsidRPr="007969D6" w:rsidRDefault="001B0FBE" w:rsidP="001D1116">
            <w:pPr>
              <w:shd w:val="solid" w:color="FFFFFF" w:fill="FFFFFF"/>
              <w:spacing w:before="0" w:line="220" w:lineRule="exact"/>
              <w:rPr>
                <w:rFonts w:ascii="Arial" w:hAnsi="Arial" w:cs="Arial"/>
                <w:color w:val="000000" w:themeColor="text1"/>
                <w:sz w:val="15"/>
                <w:szCs w:val="15"/>
              </w:rPr>
            </w:pPr>
            <w:r w:rsidRPr="007969D6">
              <w:rPr>
                <w:rFonts w:ascii="Arial" w:hAnsi="Arial" w:cs="Arial"/>
                <w:b/>
                <w:bCs/>
                <w:color w:val="000000" w:themeColor="text1"/>
                <w:sz w:val="15"/>
                <w:szCs w:val="15"/>
              </w:rPr>
              <w:t xml:space="preserve">T </w:t>
            </w:r>
            <w:r w:rsidRPr="007969D6">
              <w:rPr>
                <w:rFonts w:ascii="Arial" w:hAnsi="Arial" w:cs="Arial"/>
                <w:color w:val="000000" w:themeColor="text1"/>
                <w:sz w:val="15"/>
                <w:szCs w:val="15"/>
              </w:rPr>
              <w:t>+43 1 40443-4000</w:t>
            </w:r>
          </w:p>
          <w:p w:rsidR="001B0FBE" w:rsidRPr="007969D6" w:rsidRDefault="001B0FBE" w:rsidP="001D1116">
            <w:pPr>
              <w:shd w:val="solid" w:color="FFFFFF" w:fill="FFFFFF"/>
              <w:spacing w:before="0" w:line="220" w:lineRule="exact"/>
              <w:rPr>
                <w:rFonts w:ascii="Arial" w:hAnsi="Arial" w:cs="Arial"/>
                <w:color w:val="000000" w:themeColor="text1"/>
                <w:sz w:val="15"/>
                <w:szCs w:val="15"/>
              </w:rPr>
            </w:pPr>
            <w:r w:rsidRPr="007969D6">
              <w:rPr>
                <w:rFonts w:ascii="Arial" w:hAnsi="Arial" w:cs="Arial"/>
                <w:b/>
                <w:bCs/>
                <w:color w:val="000000" w:themeColor="text1"/>
                <w:sz w:val="15"/>
                <w:szCs w:val="15"/>
              </w:rPr>
              <w:t xml:space="preserve">F </w:t>
            </w:r>
            <w:r w:rsidRPr="007969D6">
              <w:rPr>
                <w:rFonts w:ascii="Arial" w:hAnsi="Arial" w:cs="Arial"/>
                <w:color w:val="000000" w:themeColor="text1"/>
                <w:sz w:val="15"/>
                <w:szCs w:val="15"/>
              </w:rPr>
              <w:t>+43 1 40443-94000</w:t>
            </w:r>
          </w:p>
          <w:p w:rsidR="001B0FBE" w:rsidRPr="007969D6" w:rsidRDefault="001B0FBE" w:rsidP="001D1116">
            <w:pPr>
              <w:shd w:val="solid" w:color="FFFFFF" w:fill="FFFFFF"/>
              <w:spacing w:before="0" w:line="220" w:lineRule="exact"/>
              <w:rPr>
                <w:rFonts w:ascii="Arial" w:hAnsi="Arial" w:cs="Arial"/>
                <w:bCs/>
                <w:color w:val="000000" w:themeColor="text1"/>
                <w:sz w:val="15"/>
                <w:szCs w:val="15"/>
              </w:rPr>
            </w:pPr>
            <w:r w:rsidRPr="007969D6">
              <w:rPr>
                <w:rFonts w:ascii="Arial" w:hAnsi="Arial" w:cs="Arial"/>
                <w:b/>
                <w:bCs/>
                <w:color w:val="000000" w:themeColor="text1"/>
                <w:sz w:val="15"/>
                <w:szCs w:val="15"/>
              </w:rPr>
              <w:t xml:space="preserve">E </w:t>
            </w:r>
            <w:r w:rsidRPr="007969D6">
              <w:rPr>
                <w:rFonts w:ascii="Arial" w:hAnsi="Arial" w:cs="Arial"/>
                <w:bCs/>
                <w:color w:val="000000" w:themeColor="text1"/>
                <w:sz w:val="15"/>
                <w:szCs w:val="15"/>
              </w:rPr>
              <w:t>presse@cms-rrh.com</w:t>
            </w:r>
          </w:p>
          <w:p w:rsidR="001B0FBE" w:rsidRPr="007969D6" w:rsidRDefault="001B0FBE" w:rsidP="001D1116">
            <w:pPr>
              <w:shd w:val="solid" w:color="FFFFFF" w:fill="FFFFFF"/>
              <w:spacing w:before="0" w:line="220" w:lineRule="exact"/>
              <w:rPr>
                <w:rFonts w:ascii="Arial" w:hAnsi="Arial" w:cs="Arial"/>
                <w:bCs/>
                <w:color w:val="000000" w:themeColor="text1"/>
                <w:sz w:val="15"/>
                <w:szCs w:val="15"/>
              </w:rPr>
            </w:pPr>
            <w:r w:rsidRPr="007969D6">
              <w:rPr>
                <w:rFonts w:ascii="Arial" w:hAnsi="Arial" w:cs="Arial"/>
                <w:bCs/>
                <w:color w:val="000000" w:themeColor="text1"/>
                <w:sz w:val="15"/>
                <w:szCs w:val="15"/>
              </w:rPr>
              <w:t>www.cms-rrh.com</w:t>
            </w:r>
          </w:p>
        </w:tc>
      </w:tr>
    </w:tbl>
    <w:p w:rsidR="006D4773" w:rsidRDefault="006D4773" w:rsidP="00C02CE9">
      <w:pPr>
        <w:suppressAutoHyphens/>
        <w:spacing w:line="240" w:lineRule="auto"/>
        <w:jc w:val="left"/>
        <w:rPr>
          <w:b/>
          <w:noProof/>
        </w:rPr>
      </w:pPr>
    </w:p>
    <w:p w:rsidR="00EB0460" w:rsidRPr="00EB0460" w:rsidRDefault="00EB0460" w:rsidP="00EB0460">
      <w:pPr>
        <w:rPr>
          <w:b/>
          <w:szCs w:val="24"/>
        </w:rPr>
      </w:pPr>
      <w:bookmarkStart w:id="0" w:name="_GoBack"/>
      <w:r w:rsidRPr="00EB0460">
        <w:rPr>
          <w:b/>
          <w:szCs w:val="24"/>
        </w:rPr>
        <w:t>M&amp;A Outlook: Unternehmenstransaktionen sollen in Europa deutlich zunehmen</w:t>
      </w:r>
      <w:bookmarkEnd w:id="0"/>
    </w:p>
    <w:p w:rsidR="001B204F" w:rsidRPr="001B204F" w:rsidRDefault="00EB0460" w:rsidP="00EB0460">
      <w:pPr>
        <w:jc w:val="left"/>
        <w:rPr>
          <w:b/>
          <w:sz w:val="22"/>
        </w:rPr>
      </w:pPr>
      <w:r w:rsidRPr="001B204F">
        <w:rPr>
          <w:b/>
          <w:sz w:val="22"/>
        </w:rPr>
        <w:t xml:space="preserve">Der europäische Markt für Unternehmensfusionen und -übernahmen entwickelt sich nach Ansicht von Brancheninsidern weiter dynamisch: Verglichen mit dem Vorjahr rechnen in der aktuellen Untersuchung </w:t>
      </w:r>
      <w:r w:rsidR="001B204F">
        <w:rPr>
          <w:b/>
          <w:sz w:val="22"/>
        </w:rPr>
        <w:t xml:space="preserve"> von CMS und </w:t>
      </w:r>
      <w:proofErr w:type="spellStart"/>
      <w:r w:rsidR="001B204F">
        <w:rPr>
          <w:b/>
          <w:sz w:val="22"/>
        </w:rPr>
        <w:t>Mergermarket</w:t>
      </w:r>
      <w:proofErr w:type="spellEnd"/>
      <w:r w:rsidR="001B204F">
        <w:rPr>
          <w:b/>
          <w:sz w:val="22"/>
        </w:rPr>
        <w:t xml:space="preserve"> </w:t>
      </w:r>
      <w:r w:rsidR="00107DF3" w:rsidRPr="00107DF3">
        <w:rPr>
          <w:b/>
          <w:i/>
          <w:sz w:val="22"/>
        </w:rPr>
        <w:t xml:space="preserve">European </w:t>
      </w:r>
      <w:r w:rsidRPr="00107DF3">
        <w:rPr>
          <w:b/>
          <w:i/>
          <w:sz w:val="22"/>
        </w:rPr>
        <w:t>M&amp;A Outlook</w:t>
      </w:r>
      <w:r w:rsidR="00107DF3">
        <w:rPr>
          <w:b/>
          <w:i/>
          <w:sz w:val="22"/>
        </w:rPr>
        <w:t xml:space="preserve"> 2014</w:t>
      </w:r>
      <w:r w:rsidRPr="001B204F">
        <w:rPr>
          <w:b/>
          <w:sz w:val="22"/>
        </w:rPr>
        <w:t xml:space="preserve"> noch einmal deutlich mehr </w:t>
      </w:r>
      <w:r w:rsidR="00B038A2">
        <w:rPr>
          <w:b/>
          <w:sz w:val="22"/>
        </w:rPr>
        <w:t xml:space="preserve">Entscheidungsträger </w:t>
      </w:r>
      <w:r w:rsidRPr="001B204F">
        <w:rPr>
          <w:b/>
          <w:sz w:val="22"/>
        </w:rPr>
        <w:t xml:space="preserve">mit einer Zunahme der Transaktionsaktivität in den kommenden zwölf Monaten. </w:t>
      </w:r>
    </w:p>
    <w:p w:rsidR="00EB0460" w:rsidRPr="00EB0460" w:rsidRDefault="00EB0460" w:rsidP="00EB0460">
      <w:pPr>
        <w:jc w:val="left"/>
        <w:rPr>
          <w:sz w:val="22"/>
        </w:rPr>
      </w:pPr>
      <w:r w:rsidRPr="00EB0460">
        <w:rPr>
          <w:sz w:val="22"/>
        </w:rPr>
        <w:t xml:space="preserve">Laut der gemeinsamen Studie der internationalen Anwaltssozietät CMS und des Branchendienstes </w:t>
      </w:r>
      <w:proofErr w:type="spellStart"/>
      <w:r w:rsidRPr="00EB0460">
        <w:rPr>
          <w:sz w:val="22"/>
        </w:rPr>
        <w:t>Mergermarket</w:t>
      </w:r>
      <w:proofErr w:type="spellEnd"/>
      <w:r w:rsidRPr="00EB0460">
        <w:rPr>
          <w:sz w:val="22"/>
        </w:rPr>
        <w:t xml:space="preserve">, für die 225 in Europa ansässige Führungskräfte befragt wurden, gehen zwei Drittel von einer zunehmenden und elf Prozent von einer deutlich zunehmenden M&amp;A-Aktivität aus. Im Vorjahr waren es 47 Prozent beziehungsweise ein Prozent gewesen. Die Befragten schätzen auch das konjunkturelle Umfeld wesentlich besser ein – so ist mit 69 Prozent eine Mehrheit der Ansicht, dass das Gröbste überstanden ist, und sogar 85 Prozent erwarten im kommenden Jahr weiteres wirtschaftliches Wachstum in Europa. Am meisten Wachstum wird für das wirtschaftlich anhaltend starke Deutschland prognostiziert: Mit 21 Prozent rechnet hier der höchste Anteil der Befragten mit der größten Aktivität, gefolgt von den Benelux-Ländern mit elf Prozent sowie den nordeuropäischen Staaten und dem Vereinigten Königreich mit jeweils neun Prozent. </w:t>
      </w:r>
    </w:p>
    <w:p w:rsidR="00EB0460" w:rsidRPr="00EB0460" w:rsidRDefault="00EB0460" w:rsidP="00EB0460">
      <w:pPr>
        <w:jc w:val="left"/>
        <w:rPr>
          <w:sz w:val="22"/>
        </w:rPr>
      </w:pPr>
      <w:r w:rsidRPr="00EB0460">
        <w:rPr>
          <w:b/>
          <w:sz w:val="22"/>
        </w:rPr>
        <w:t>Ukraine-Krise als möglicher Dämpfer</w:t>
      </w:r>
      <w:r>
        <w:rPr>
          <w:b/>
          <w:sz w:val="22"/>
        </w:rPr>
        <w:br/>
      </w:r>
      <w:r w:rsidRPr="00EB0460">
        <w:rPr>
          <w:sz w:val="22"/>
        </w:rPr>
        <w:t xml:space="preserve">"Die Befragung spiegelt das zunehmende Marktvertrauen wider, das auch durch die hohe Anzahl an M&amp;A-Deals in diesem Jahr und jüngst von </w:t>
      </w:r>
      <w:r w:rsidR="00B038A2">
        <w:rPr>
          <w:sz w:val="22"/>
        </w:rPr>
        <w:t xml:space="preserve">europäischen </w:t>
      </w:r>
      <w:r w:rsidRPr="00EB0460">
        <w:rPr>
          <w:sz w:val="22"/>
        </w:rPr>
        <w:t xml:space="preserve">Unternehmen angekündigten größeren Transaktionen belegt wird", so </w:t>
      </w:r>
      <w:r w:rsidR="00E82280" w:rsidRPr="00E82280">
        <w:rPr>
          <w:sz w:val="22"/>
        </w:rPr>
        <w:t>Peter Huber, Partner von CMS in Wien und Leiter des Corporate Transactions-Teams</w:t>
      </w:r>
      <w:r w:rsidRPr="00EB0460">
        <w:rPr>
          <w:sz w:val="22"/>
        </w:rPr>
        <w:t>. "Die anhaltenden finanziellen und politischen Unsicherheiten rund um den Ukraine-Konflikt könnten die europäische M&amp;A-Aktivität jedoch noch einbremsen." So denken  momentan 41 Prozent der Befragten, dass diese Krise Beeinträchtigungen für den Markt bringen könnte.</w:t>
      </w:r>
    </w:p>
    <w:p w:rsidR="00EB0460" w:rsidRPr="00EB0460" w:rsidRDefault="00EB0460" w:rsidP="00EB0460">
      <w:pPr>
        <w:jc w:val="left"/>
        <w:rPr>
          <w:sz w:val="22"/>
        </w:rPr>
      </w:pPr>
      <w:r w:rsidRPr="00EB0460">
        <w:rPr>
          <w:b/>
          <w:sz w:val="22"/>
        </w:rPr>
        <w:t>Branchenkonsolidierung treibt das Geschäft an</w:t>
      </w:r>
      <w:r>
        <w:rPr>
          <w:b/>
          <w:sz w:val="22"/>
        </w:rPr>
        <w:br/>
      </w:r>
      <w:r w:rsidRPr="00EB0460">
        <w:rPr>
          <w:sz w:val="22"/>
        </w:rPr>
        <w:t>Als wichtigste Impulse für die ansteigende Transaktionsaktivität sehen die Umfrageteilnehmer auf der Käuferseite vor allem die Branchenkonsolidierung (59 Prozent), das vermehrte Interesse ausländischer Käufer (56 Prozent) und besonders kaufkräftige Akteure (55 Prozent). Die Branchenkonsolidierung spielt insbesondere im Technologie-, Medien- und Telekommunikation</w:t>
      </w:r>
      <w:r w:rsidR="006372C7">
        <w:rPr>
          <w:sz w:val="22"/>
        </w:rPr>
        <w:t>ss</w:t>
      </w:r>
      <w:r w:rsidRPr="00EB0460">
        <w:rPr>
          <w:sz w:val="22"/>
        </w:rPr>
        <w:t xml:space="preserve">ektor (TMT) eine wichtige </w:t>
      </w:r>
      <w:r w:rsidRPr="00EB0460">
        <w:rPr>
          <w:sz w:val="22"/>
        </w:rPr>
        <w:lastRenderedPageBreak/>
        <w:t xml:space="preserve">Rolle: Gegenüber dem Vorjahreszeitraum nahm die Zahl der entsprechenden Deals im ersten Halbjahr 2014 um zehn Prozent zu, das Transaktionsvolumen kletterte gar um 34 Prozent auf 66 Milliarden Euro. Auf Verkäuferseite wird die M&amp;A-Aktivität nach Ansicht der Befragten im Wesentlichen angetrieben durch die Kapitalbeschaffung für Expansion in wachstumsstarke Bereiche (67 Prozent), Fusionen und Übernahmen aus Zwangslagen heraus (59 Prozent) sowie die Trennung von nicht zum Kerngeschäft gehörenden Vermögenswerten bei größeren Unternehmen (56 Prozent). </w:t>
      </w:r>
      <w:r w:rsidR="006372C7">
        <w:rPr>
          <w:sz w:val="22"/>
        </w:rPr>
        <w:t>„</w:t>
      </w:r>
      <w:proofErr w:type="spellStart"/>
      <w:r w:rsidR="006372C7">
        <w:rPr>
          <w:sz w:val="22"/>
        </w:rPr>
        <w:t>Distressed</w:t>
      </w:r>
      <w:proofErr w:type="spellEnd"/>
      <w:r w:rsidR="006372C7">
        <w:rPr>
          <w:sz w:val="22"/>
        </w:rPr>
        <w:t xml:space="preserve"> M&amp;A“ nahm</w:t>
      </w:r>
      <w:r w:rsidRPr="00EB0460">
        <w:rPr>
          <w:sz w:val="22"/>
        </w:rPr>
        <w:t xml:space="preserve"> gegenüber dem Vorjahr neun Prozent </w:t>
      </w:r>
      <w:r w:rsidR="006372C7">
        <w:rPr>
          <w:sz w:val="22"/>
        </w:rPr>
        <w:t>ab</w:t>
      </w:r>
      <w:r w:rsidRPr="00EB0460">
        <w:rPr>
          <w:sz w:val="22"/>
        </w:rPr>
        <w:t>.</w:t>
      </w:r>
    </w:p>
    <w:p w:rsidR="00EB0460" w:rsidRPr="00EB0460" w:rsidRDefault="00EB0460" w:rsidP="00EB0460">
      <w:pPr>
        <w:jc w:val="left"/>
        <w:rPr>
          <w:sz w:val="22"/>
        </w:rPr>
      </w:pPr>
      <w:r w:rsidRPr="00EB0460">
        <w:rPr>
          <w:sz w:val="22"/>
        </w:rPr>
        <w:t>Die Studie zeigt auch, dass regulatorische Aspekte als Haupthindernis von M&amp;A-Deals gesehen werden, gefolgt von Finanzierungsschwierigkeiten und wirtschaftlicher Unsicherheit.</w:t>
      </w:r>
    </w:p>
    <w:p w:rsidR="00EB0460" w:rsidRPr="00EB0460" w:rsidRDefault="00EB0460" w:rsidP="00EB0460">
      <w:pPr>
        <w:jc w:val="left"/>
        <w:rPr>
          <w:sz w:val="22"/>
        </w:rPr>
      </w:pPr>
      <w:r w:rsidRPr="00EB0460">
        <w:rPr>
          <w:sz w:val="22"/>
        </w:rPr>
        <w:t xml:space="preserve">Auf Branchenebene rangiert TMT bei der Zahl der M&amp;A-Transaktionen an erster Stelle; mit 20 Prozent rechnet der größte Anteil der Befragten </w:t>
      </w:r>
      <w:r w:rsidR="00AB44EC">
        <w:rPr>
          <w:sz w:val="22"/>
        </w:rPr>
        <w:t xml:space="preserve">für diesen Sektor </w:t>
      </w:r>
      <w:r w:rsidRPr="00EB0460">
        <w:rPr>
          <w:sz w:val="22"/>
        </w:rPr>
        <w:t xml:space="preserve">mit den meisten </w:t>
      </w:r>
      <w:r w:rsidR="00AB44EC">
        <w:rPr>
          <w:sz w:val="22"/>
        </w:rPr>
        <w:t>Deals</w:t>
      </w:r>
      <w:r w:rsidRPr="00EB0460">
        <w:rPr>
          <w:sz w:val="22"/>
        </w:rPr>
        <w:t xml:space="preserve"> in den </w:t>
      </w:r>
      <w:r w:rsidR="00AB44EC">
        <w:rPr>
          <w:sz w:val="22"/>
        </w:rPr>
        <w:t xml:space="preserve">nächsten </w:t>
      </w:r>
      <w:r w:rsidRPr="00EB0460">
        <w:rPr>
          <w:sz w:val="22"/>
        </w:rPr>
        <w:t xml:space="preserve">zwölf Monaten. Platz </w:t>
      </w:r>
      <w:r w:rsidR="00AB44EC">
        <w:rPr>
          <w:sz w:val="22"/>
        </w:rPr>
        <w:t>z</w:t>
      </w:r>
      <w:r w:rsidRPr="00EB0460">
        <w:rPr>
          <w:sz w:val="22"/>
        </w:rPr>
        <w:t>wei teilen sich Industrien und Chemie sowie Energie, Bergbau und Versorger mit jeweils 17 Prozent.</w:t>
      </w:r>
    </w:p>
    <w:p w:rsidR="00E02598" w:rsidRPr="00274E89" w:rsidRDefault="00E02598" w:rsidP="005D59D9">
      <w:pPr>
        <w:pStyle w:val="Textkrper"/>
        <w:jc w:val="center"/>
        <w:rPr>
          <w:rFonts w:ascii="Times New Roman" w:hAnsi="Times New Roman"/>
          <w:b/>
          <w:lang w:val="en-US"/>
        </w:rPr>
      </w:pPr>
      <w:r w:rsidRPr="00274E89">
        <w:rPr>
          <w:rFonts w:ascii="Times New Roman" w:hAnsi="Times New Roman"/>
          <w:b/>
          <w:lang w:val="en-US"/>
        </w:rPr>
        <w:t>- ENDE -</w:t>
      </w:r>
    </w:p>
    <w:p w:rsidR="00E02598" w:rsidRPr="006309BB" w:rsidRDefault="00E02598" w:rsidP="00E02598">
      <w:pPr>
        <w:tabs>
          <w:tab w:val="left" w:pos="3079"/>
        </w:tabs>
        <w:ind w:left="360" w:hanging="360"/>
        <w:rPr>
          <w:rFonts w:cs="Times New Roman"/>
          <w:b/>
          <w:lang w:val="en-US"/>
        </w:rPr>
      </w:pPr>
      <w:proofErr w:type="spellStart"/>
      <w:r w:rsidRPr="006309BB">
        <w:rPr>
          <w:rFonts w:cs="Times New Roman"/>
          <w:b/>
          <w:lang w:val="en-US"/>
        </w:rPr>
        <w:t>Kontakt</w:t>
      </w:r>
      <w:proofErr w:type="spellEnd"/>
      <w:r w:rsidRPr="006309BB">
        <w:rPr>
          <w:rFonts w:cs="Times New Roman"/>
          <w:b/>
          <w:lang w:val="en-US"/>
        </w:rPr>
        <w:t>:</w:t>
      </w:r>
    </w:p>
    <w:p w:rsidR="00E02598" w:rsidRPr="00DB7D0B" w:rsidRDefault="00E02598" w:rsidP="00E02598">
      <w:pPr>
        <w:pStyle w:val="Textkrper"/>
        <w:contextualSpacing/>
        <w:jc w:val="left"/>
        <w:rPr>
          <w:rFonts w:ascii="Times New Roman" w:hAnsi="Times New Roman"/>
          <w:b/>
        </w:rPr>
      </w:pPr>
      <w:r w:rsidRPr="00DB7D0B">
        <w:rPr>
          <w:rFonts w:ascii="Times New Roman" w:hAnsi="Times New Roman"/>
          <w:b/>
        </w:rPr>
        <w:t>Mag. Kristijana Lastro</w:t>
      </w:r>
    </w:p>
    <w:p w:rsidR="00E02598" w:rsidRPr="00DB7D0B" w:rsidRDefault="00E02598" w:rsidP="00E02598">
      <w:pPr>
        <w:pStyle w:val="Textkrper"/>
        <w:contextualSpacing/>
        <w:rPr>
          <w:rFonts w:ascii="Times New Roman" w:hAnsi="Times New Roman"/>
        </w:rPr>
      </w:pPr>
      <w:r w:rsidRPr="00DB7D0B">
        <w:rPr>
          <w:rFonts w:ascii="Times New Roman" w:hAnsi="Times New Roman"/>
        </w:rPr>
        <w:t>Head of Marketing &amp; Communications</w:t>
      </w:r>
    </w:p>
    <w:p w:rsidR="00E02598" w:rsidRPr="00DB7D0B" w:rsidRDefault="00E02598" w:rsidP="00E02598">
      <w:pPr>
        <w:pStyle w:val="Textkrper"/>
        <w:contextualSpacing/>
        <w:rPr>
          <w:rFonts w:ascii="Times New Roman" w:hAnsi="Times New Roman"/>
          <w:lang w:val="de-AT"/>
        </w:rPr>
      </w:pPr>
      <w:r w:rsidRPr="00DB7D0B">
        <w:rPr>
          <w:rFonts w:ascii="Times New Roman" w:hAnsi="Times New Roman"/>
          <w:lang w:val="de-AT"/>
        </w:rPr>
        <w:t>T +43 1 40443 4000</w:t>
      </w:r>
    </w:p>
    <w:p w:rsidR="00E02598" w:rsidRPr="00DB7D0B" w:rsidRDefault="00E02598" w:rsidP="00E02598">
      <w:pPr>
        <w:pStyle w:val="Textkrper"/>
        <w:contextualSpacing/>
        <w:jc w:val="left"/>
        <w:rPr>
          <w:rFonts w:ascii="Times New Roman" w:hAnsi="Times New Roman"/>
          <w:lang w:val="de-AT"/>
        </w:rPr>
      </w:pPr>
      <w:r w:rsidRPr="00DB7D0B">
        <w:rPr>
          <w:rFonts w:ascii="Times New Roman" w:hAnsi="Times New Roman"/>
          <w:lang w:val="de-AT"/>
        </w:rPr>
        <w:t>E kristijana.lastro@cms-rrh.com</w:t>
      </w:r>
    </w:p>
    <w:p w:rsidR="00E02598" w:rsidRDefault="00E02598" w:rsidP="00E02598">
      <w:r w:rsidRPr="00631B6D">
        <w:t xml:space="preserve">Diese sowie weitere Pressemitteilungen stehen Ihnen auf unserer Homepage unter </w:t>
      </w:r>
      <w:r w:rsidR="00DB7D0B">
        <w:br/>
      </w:r>
      <w:hyperlink r:id="rId8" w:history="1">
        <w:r w:rsidRPr="00942E6F">
          <w:rPr>
            <w:rStyle w:val="Hyperlink"/>
          </w:rPr>
          <w:t>www.cms-rrh.com</w:t>
        </w:r>
      </w:hyperlink>
      <w:r w:rsidRPr="00631B6D">
        <w:t xml:space="preserve"> zum Download zur Verfügung.</w:t>
      </w:r>
    </w:p>
    <w:p w:rsidR="00487012" w:rsidRDefault="00487012" w:rsidP="00E02598"/>
    <w:p w:rsidR="00E02598" w:rsidRDefault="00BC0DF9" w:rsidP="00E02598">
      <w:pPr>
        <w:rPr>
          <w:rStyle w:val="Hyperlink"/>
          <w:rFonts w:cstheme="minorHAnsi"/>
        </w:rPr>
      </w:pPr>
      <w:r>
        <w:rPr>
          <w:rFonts w:ascii="Verdana" w:hAnsi="Verdana"/>
          <w:noProof/>
          <w:color w:val="000000"/>
          <w:sz w:val="15"/>
          <w:szCs w:val="15"/>
          <w:lang w:eastAsia="de-AT"/>
        </w:rPr>
        <w:drawing>
          <wp:anchor distT="0" distB="0" distL="114300" distR="114300" simplePos="0" relativeHeight="251661312" behindDoc="0" locked="0" layoutInCell="1" allowOverlap="1" wp14:anchorId="4E58FEFC" wp14:editId="473AEAA7">
            <wp:simplePos x="0" y="0"/>
            <wp:positionH relativeFrom="margin">
              <wp:posOffset>-2540</wp:posOffset>
            </wp:positionH>
            <wp:positionV relativeFrom="paragraph">
              <wp:posOffset>74295</wp:posOffset>
            </wp:positionV>
            <wp:extent cx="478790" cy="395605"/>
            <wp:effectExtent l="0" t="0" r="0" b="4445"/>
            <wp:wrapSquare wrapText="bothSides"/>
            <wp:docPr id="3" name="Grafik 3" descr="cid:image004.png@01CE6911.79B21EC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E6911.79B21E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78790"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598" w:rsidRPr="00E70477">
        <w:rPr>
          <w:rFonts w:cstheme="minorHAnsi"/>
          <w:color w:val="000000"/>
        </w:rPr>
        <w:t xml:space="preserve">CMS Reich-Rohrwig Hainz bloggt! Aktuelles, Relevantes und Interessantes aus </w:t>
      </w:r>
      <w:r w:rsidR="00E02598" w:rsidRPr="00E70477">
        <w:rPr>
          <w:rFonts w:cstheme="minorHAnsi"/>
          <w:color w:val="000000"/>
        </w:rPr>
        <w:br/>
        <w:t xml:space="preserve">über 20 Fachbereichen finden Sie unter </w:t>
      </w:r>
      <w:hyperlink r:id="rId12" w:history="1">
        <w:r w:rsidR="00E02598" w:rsidRPr="00E70477">
          <w:rPr>
            <w:rStyle w:val="Hyperlink"/>
            <w:rFonts w:cstheme="minorHAnsi"/>
          </w:rPr>
          <w:t>http://blog.cms-rrh.com</w:t>
        </w:r>
      </w:hyperlink>
    </w:p>
    <w:p w:rsidR="00BC0DF9" w:rsidRPr="00631B6D" w:rsidRDefault="00BC0DF9" w:rsidP="00E02598"/>
    <w:p w:rsidR="00E02598" w:rsidRPr="00FE1739" w:rsidRDefault="00E02598" w:rsidP="00E02598">
      <w:pPr>
        <w:rPr>
          <w:b/>
          <w:sz w:val="18"/>
        </w:rPr>
      </w:pPr>
      <w:r w:rsidRPr="00FE1739">
        <w:rPr>
          <w:b/>
          <w:sz w:val="18"/>
        </w:rPr>
        <w:t>Über CMS Reich-Rohrwig Hainz</w:t>
      </w:r>
    </w:p>
    <w:p w:rsidR="00487012" w:rsidRDefault="00E02598" w:rsidP="00E02598">
      <w:pPr>
        <w:rPr>
          <w:sz w:val="18"/>
        </w:rPr>
      </w:pPr>
      <w:r w:rsidRPr="004C306E">
        <w:rPr>
          <w:sz w:val="18"/>
        </w:rPr>
        <w:t xml:space="preserve">CMS Reich-Rohrwig Hainz ist eine der führenden Rechtsanwaltssozietäten in Österreich und Südosteuropa. Unsere Anwälte und Steuerexperten sind durch ihre Spezialisierung in der Lage, Klienten effizient und auf höchstem Niveau zu beraten. Dies sowohl fachlich als auch mit branchenspezifischem Know-how. Die Schwerpunkte unserer spezialisierten Teams mit international erfahrenen Juristen liegen in den Bereichen M&amp;A, Banking &amp; </w:t>
      </w:r>
      <w:proofErr w:type="spellStart"/>
      <w:r w:rsidRPr="004C306E">
        <w:rPr>
          <w:sz w:val="18"/>
        </w:rPr>
        <w:t>Finance</w:t>
      </w:r>
      <w:proofErr w:type="spellEnd"/>
      <w:r w:rsidRPr="004C306E">
        <w:rPr>
          <w:sz w:val="18"/>
        </w:rPr>
        <w:t xml:space="preserve">, Real Estate, Baurecht, Steuerrecht, Arbeitsrecht, IP- und IT-Recht sowie Vergaberecht. Dabei erarbeiten wir für Sie sowohl juristisch fundierte als auch - unter </w:t>
      </w:r>
      <w:proofErr w:type="spellStart"/>
      <w:r w:rsidRPr="004C306E">
        <w:rPr>
          <w:sz w:val="18"/>
        </w:rPr>
        <w:t>Bedachtnahme</w:t>
      </w:r>
      <w:proofErr w:type="spellEnd"/>
      <w:r w:rsidRPr="004C306E">
        <w:rPr>
          <w:sz w:val="18"/>
        </w:rPr>
        <w:t xml:space="preserve"> auf Ihre kommerziellen Ziele - pragmatische Lösungen, die den wirtschaftlichen Erfordernissen Ihres Unternehmens bestmöglich entsprechen. Wir haben eigene Büros in Wien, Belgrad, Bratislava, Brüssel, Istanbul, Kiew, Ljubljana, Podgorica, Sarajewo, Sofia und Zagreb. Gemeinsam mit unseren zehn CMS Partnerkanzleien bieten wir unseren Klienten ein Team von mehr als 600 erfahrenen Spezialisten in 15 Büros in der CEE/SEE-Region</w:t>
      </w:r>
      <w:r w:rsidRPr="00FE1739">
        <w:rPr>
          <w:sz w:val="18"/>
        </w:rPr>
        <w:t xml:space="preserve">. </w:t>
      </w:r>
      <w:hyperlink r:id="rId13" w:history="1">
        <w:r w:rsidRPr="00FE1739">
          <w:rPr>
            <w:rStyle w:val="Hyperlink"/>
            <w:sz w:val="18"/>
          </w:rPr>
          <w:t>www.cms-rrh.com</w:t>
        </w:r>
      </w:hyperlink>
      <w:r w:rsidRPr="00FE1739">
        <w:rPr>
          <w:sz w:val="18"/>
        </w:rPr>
        <w:t xml:space="preserve">  </w:t>
      </w:r>
    </w:p>
    <w:p w:rsidR="00487012" w:rsidRDefault="00487012">
      <w:pPr>
        <w:spacing w:before="0" w:after="200" w:line="276" w:lineRule="auto"/>
        <w:jc w:val="left"/>
        <w:rPr>
          <w:sz w:val="18"/>
        </w:rPr>
      </w:pPr>
      <w:r>
        <w:rPr>
          <w:sz w:val="18"/>
        </w:rPr>
        <w:br w:type="page"/>
      </w:r>
    </w:p>
    <w:p w:rsidR="001517B1" w:rsidRPr="00706A5D" w:rsidRDefault="001517B1" w:rsidP="001517B1">
      <w:pPr>
        <w:spacing w:before="0"/>
        <w:rPr>
          <w:b/>
          <w:sz w:val="18"/>
          <w:szCs w:val="18"/>
        </w:rPr>
      </w:pPr>
      <w:r w:rsidRPr="00706A5D">
        <w:rPr>
          <w:b/>
          <w:sz w:val="18"/>
          <w:szCs w:val="18"/>
        </w:rPr>
        <w:lastRenderedPageBreak/>
        <w:t>Über CMS:</w:t>
      </w:r>
    </w:p>
    <w:p w:rsidR="001517B1" w:rsidRPr="00706A5D" w:rsidRDefault="001517B1" w:rsidP="001517B1">
      <w:pPr>
        <w:spacing w:before="0"/>
        <w:rPr>
          <w:sz w:val="18"/>
          <w:szCs w:val="18"/>
        </w:rPr>
      </w:pPr>
      <w:r w:rsidRPr="00706A5D">
        <w:rPr>
          <w:sz w:val="18"/>
          <w:szCs w:val="18"/>
        </w:rPr>
        <w:t>Im Jahr 1999 gegründet ist CMS gemessen an der Anzahl der Rechtsanwälte heute eine der zehn führenden internationalen Kanzleien und die größte Kanzlei in Europa (Am Law 2013 Global 100) mit einem breiten Angebot an spezialisierter Beratung. Mit mehr als 3.000 Rechtsanwälten und 59 Büros in 33 Ländern verfügt CMS über eine langjährige lokale sowie auch grenzübergreifende Expertise. Zu den CMS Mandanten gehören etliche der in den Listen Fortune 500 und FT European 500 vertretenen Unternehmen sowie die Mehrheit der DAX-30-Unternehmen.</w:t>
      </w:r>
    </w:p>
    <w:p w:rsidR="001517B1" w:rsidRPr="00706A5D" w:rsidRDefault="001517B1" w:rsidP="001517B1">
      <w:pPr>
        <w:spacing w:before="0"/>
        <w:rPr>
          <w:sz w:val="18"/>
          <w:szCs w:val="18"/>
        </w:rPr>
      </w:pPr>
    </w:p>
    <w:p w:rsidR="001517B1" w:rsidRPr="00706A5D" w:rsidRDefault="001517B1" w:rsidP="001517B1">
      <w:pPr>
        <w:spacing w:before="0"/>
        <w:rPr>
          <w:sz w:val="18"/>
          <w:szCs w:val="18"/>
        </w:rPr>
      </w:pPr>
      <w:r w:rsidRPr="00706A5D">
        <w:rPr>
          <w:sz w:val="18"/>
          <w:szCs w:val="18"/>
        </w:rPr>
        <w:t xml:space="preserve">Die breitgefächerte Expertise von CMS erstreckt sich auf insgesamt 18 Branchen und Fachbereiche, darunter Arbeitsrecht,  Banking &amp; </w:t>
      </w:r>
      <w:proofErr w:type="spellStart"/>
      <w:r w:rsidRPr="00706A5D">
        <w:rPr>
          <w:sz w:val="18"/>
          <w:szCs w:val="18"/>
        </w:rPr>
        <w:t>Finance</w:t>
      </w:r>
      <w:proofErr w:type="spellEnd"/>
      <w:r w:rsidRPr="00706A5D">
        <w:rPr>
          <w:sz w:val="18"/>
          <w:szCs w:val="18"/>
        </w:rPr>
        <w:t xml:space="preserve">, Commercial, Dispute Resolution, Energiewirtschaft, Gesellschaftsrecht, Gewerblicher Rechtsschutz, Kartellrecht, </w:t>
      </w:r>
      <w:proofErr w:type="spellStart"/>
      <w:r w:rsidRPr="00706A5D">
        <w:rPr>
          <w:sz w:val="18"/>
          <w:szCs w:val="18"/>
        </w:rPr>
        <w:t>Lifesciences</w:t>
      </w:r>
      <w:proofErr w:type="spellEnd"/>
      <w:r w:rsidRPr="00706A5D">
        <w:rPr>
          <w:sz w:val="18"/>
          <w:szCs w:val="18"/>
        </w:rPr>
        <w:t>, Real Estate, Steuerrecht sowie TMT (Technologie, Medien &amp; Telekommunikation).</w:t>
      </w:r>
    </w:p>
    <w:p w:rsidR="001517B1" w:rsidRPr="00706A5D" w:rsidRDefault="001517B1" w:rsidP="001517B1">
      <w:pPr>
        <w:spacing w:before="0"/>
        <w:rPr>
          <w:sz w:val="18"/>
          <w:szCs w:val="18"/>
        </w:rPr>
      </w:pPr>
    </w:p>
    <w:p w:rsidR="001517B1" w:rsidRPr="00706A5D" w:rsidRDefault="001517B1" w:rsidP="001517B1">
      <w:pPr>
        <w:spacing w:before="0"/>
        <w:rPr>
          <w:sz w:val="18"/>
          <w:szCs w:val="18"/>
        </w:rPr>
      </w:pPr>
      <w:r w:rsidRPr="00706A5D">
        <w:rPr>
          <w:sz w:val="18"/>
          <w:szCs w:val="18"/>
        </w:rPr>
        <w:t xml:space="preserve">Weitere Informationen finden Sie unter </w:t>
      </w:r>
      <w:hyperlink r:id="rId14" w:history="1">
        <w:r w:rsidRPr="00706A5D">
          <w:rPr>
            <w:rStyle w:val="Hyperlink"/>
            <w:sz w:val="18"/>
            <w:szCs w:val="18"/>
          </w:rPr>
          <w:t>www.cmslegal.com</w:t>
        </w:r>
      </w:hyperlink>
      <w:r w:rsidRPr="00706A5D">
        <w:rPr>
          <w:sz w:val="18"/>
          <w:szCs w:val="18"/>
        </w:rPr>
        <w:t>.</w:t>
      </w:r>
    </w:p>
    <w:p w:rsidR="001517B1" w:rsidRPr="00706A5D" w:rsidRDefault="001517B1" w:rsidP="001517B1">
      <w:pPr>
        <w:spacing w:before="0"/>
        <w:rPr>
          <w:sz w:val="18"/>
          <w:szCs w:val="18"/>
        </w:rPr>
      </w:pPr>
    </w:p>
    <w:p w:rsidR="001517B1" w:rsidRPr="00706A5D" w:rsidRDefault="001517B1" w:rsidP="001517B1">
      <w:pPr>
        <w:spacing w:before="0"/>
        <w:rPr>
          <w:sz w:val="18"/>
          <w:szCs w:val="18"/>
        </w:rPr>
      </w:pPr>
      <w:r w:rsidRPr="00706A5D">
        <w:rPr>
          <w:b/>
          <w:sz w:val="18"/>
          <w:szCs w:val="18"/>
        </w:rPr>
        <w:t>CMS-Büros und verbundene Büros</w:t>
      </w:r>
      <w:r w:rsidRPr="00706A5D">
        <w:rPr>
          <w:sz w:val="18"/>
          <w:szCs w:val="18"/>
        </w:rPr>
        <w:t>: Aberdeen, Algier, Amsterdam, Antwerpen, Barcelona, Belgrad, Berlin, Bratislava, Bristol, Brüssel, Budapest, Bukarest, Casablanca, Dubai, Düsseldorf, Edinburgh, Frankfurt/Main, Genf, Glasgow, Hamburg, Istanbul, Kiew, Köln, Leipzig, Lissabon, Ljubljana, London, Luxemburg, Lyon, Madrid, Mailand, Maskat, Mexiko-Stadt, Moskau, München, Paris, Peking, Podgorica, Prag, Rio de Janeiro, Rom, Sarajevo, Sevilla, Shanghai, Sofia, Straßburg, Stuttgart, Tirana, Utrecht, Warschau, Wien, Zagreb und Zürich.</w:t>
      </w:r>
    </w:p>
    <w:p w:rsidR="00E02598" w:rsidRPr="00706A5D" w:rsidRDefault="00E02598" w:rsidP="001517B1">
      <w:pPr>
        <w:rPr>
          <w:sz w:val="18"/>
          <w:szCs w:val="18"/>
        </w:rPr>
      </w:pPr>
    </w:p>
    <w:sectPr w:rsidR="00E02598" w:rsidRPr="00706A5D" w:rsidSect="00DB7D0B">
      <w:headerReference w:type="default" r:id="rId15"/>
      <w:footerReference w:type="default" r:id="rId16"/>
      <w:headerReference w:type="first" r:id="rId17"/>
      <w:footerReference w:type="first" r:id="rId18"/>
      <w:pgSz w:w="11906" w:h="16838"/>
      <w:pgMar w:top="1701"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E1" w:rsidRDefault="008A65E1" w:rsidP="003F74BE">
      <w:pPr>
        <w:spacing w:line="240" w:lineRule="auto"/>
      </w:pPr>
      <w:r>
        <w:separator/>
      </w:r>
    </w:p>
  </w:endnote>
  <w:endnote w:type="continuationSeparator" w:id="0">
    <w:p w:rsidR="008A65E1" w:rsidRDefault="008A65E1" w:rsidP="003F7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838" w:rsidRPr="00982417" w:rsidRDefault="00982417" w:rsidP="00982417">
    <w:pPr>
      <w:pStyle w:val="Fuzeile"/>
      <w:rPr>
        <w:rFonts w:ascii="Arial" w:hAnsi="Arial" w:cs="Arial"/>
        <w:sz w:val="13"/>
        <w:szCs w:val="13"/>
      </w:rPr>
    </w:pPr>
    <w:proofErr w:type="spellStart"/>
    <w:r>
      <w:rPr>
        <w:rFonts w:ascii="Arial" w:hAnsi="Arial" w:cs="Arial"/>
        <w:sz w:val="13"/>
        <w:szCs w:val="13"/>
      </w:rPr>
      <w:t>Seite</w:t>
    </w:r>
    <w:proofErr w:type="spellEnd"/>
    <w:r>
      <w:rPr>
        <w:rFonts w:ascii="Arial" w:hAnsi="Arial" w:cs="Arial"/>
        <w:sz w:val="13"/>
        <w:szCs w:val="13"/>
      </w:rPr>
      <w:t xml:space="preserve"> </w:t>
    </w:r>
    <w:r w:rsidRPr="00982417">
      <w:rPr>
        <w:rFonts w:ascii="Arial" w:hAnsi="Arial" w:cs="Arial"/>
        <w:sz w:val="13"/>
        <w:szCs w:val="13"/>
      </w:rPr>
      <w:fldChar w:fldCharType="begin"/>
    </w:r>
    <w:r w:rsidRPr="00982417">
      <w:rPr>
        <w:rFonts w:ascii="Arial" w:hAnsi="Arial" w:cs="Arial"/>
        <w:sz w:val="13"/>
        <w:szCs w:val="13"/>
      </w:rPr>
      <w:instrText>PAGE   \* MERGEFORMAT</w:instrText>
    </w:r>
    <w:r w:rsidRPr="00982417">
      <w:rPr>
        <w:rFonts w:ascii="Arial" w:hAnsi="Arial" w:cs="Arial"/>
        <w:sz w:val="13"/>
        <w:szCs w:val="13"/>
      </w:rPr>
      <w:fldChar w:fldCharType="separate"/>
    </w:r>
    <w:r w:rsidR="00D6635A" w:rsidRPr="00D6635A">
      <w:rPr>
        <w:rFonts w:ascii="Arial" w:hAnsi="Arial" w:cs="Arial"/>
        <w:noProof/>
        <w:sz w:val="13"/>
        <w:szCs w:val="13"/>
        <w:lang w:val="de-DE"/>
      </w:rPr>
      <w:t>3</w:t>
    </w:r>
    <w:r w:rsidRPr="00982417">
      <w:rPr>
        <w:rFonts w:ascii="Arial" w:hAnsi="Arial" w:cs="Arial"/>
        <w:sz w:val="13"/>
        <w:szCs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DCC" w:rsidRDefault="00381838" w:rsidP="00792DCC">
    <w:pPr>
      <w:pStyle w:val="Fuzeile1"/>
      <w:pBdr>
        <w:top w:val="single" w:sz="4" w:space="3" w:color="auto"/>
      </w:pBdr>
      <w:spacing w:before="0"/>
      <w:rPr>
        <w:rFonts w:ascii="Arial" w:hAnsi="Arial" w:cs="Arial"/>
        <w:lang w:val="de-AT"/>
      </w:rPr>
    </w:pPr>
    <w:r w:rsidRPr="00B35311">
      <w:rPr>
        <w:rFonts w:ascii="Arial" w:hAnsi="Arial" w:cs="Arial"/>
        <w:lang w:val="de-AT"/>
      </w:rPr>
      <w:t xml:space="preserve">Vertrauliche Anwaltskorrespondenz – </w:t>
    </w:r>
    <w:proofErr w:type="spellStart"/>
    <w:r w:rsidRPr="00B35311">
      <w:rPr>
        <w:rFonts w:ascii="Arial" w:hAnsi="Arial" w:cs="Arial"/>
        <w:lang w:val="de-AT"/>
      </w:rPr>
      <w:t>privileged</w:t>
    </w:r>
    <w:proofErr w:type="spellEnd"/>
    <w:r w:rsidRPr="00B35311">
      <w:rPr>
        <w:rFonts w:ascii="Arial" w:hAnsi="Arial" w:cs="Arial"/>
        <w:lang w:val="de-AT"/>
      </w:rPr>
      <w:t xml:space="preserve"> </w:t>
    </w:r>
    <w:proofErr w:type="spellStart"/>
    <w:r w:rsidRPr="00B35311">
      <w:rPr>
        <w:rFonts w:ascii="Arial" w:hAnsi="Arial" w:cs="Arial"/>
        <w:lang w:val="de-AT"/>
      </w:rPr>
      <w:t>and</w:t>
    </w:r>
    <w:proofErr w:type="spellEnd"/>
    <w:r w:rsidRPr="00B35311">
      <w:rPr>
        <w:rFonts w:ascii="Arial" w:hAnsi="Arial" w:cs="Arial"/>
        <w:lang w:val="de-AT"/>
      </w:rPr>
      <w:t xml:space="preserve"> </w:t>
    </w:r>
    <w:proofErr w:type="spellStart"/>
    <w:r w:rsidRPr="00B35311">
      <w:rPr>
        <w:rFonts w:ascii="Arial" w:hAnsi="Arial" w:cs="Arial"/>
        <w:lang w:val="de-AT"/>
      </w:rPr>
      <w:t>confidential</w:t>
    </w:r>
    <w:proofErr w:type="spellEnd"/>
  </w:p>
  <w:p w:rsidR="00F64D74" w:rsidRDefault="00F64D74" w:rsidP="00F64D74">
    <w:pPr>
      <w:pStyle w:val="Fuzeile1"/>
      <w:pBdr>
        <w:top w:val="single" w:sz="4" w:space="3" w:color="auto"/>
      </w:pBdr>
      <w:rPr>
        <w:rFonts w:ascii="Arial" w:hAnsi="Arial" w:cs="Arial"/>
        <w:lang w:val="de-AT"/>
      </w:rPr>
    </w:pPr>
    <w:r w:rsidRPr="00992435">
      <w:rPr>
        <w:rStyle w:val="Third"/>
        <w:lang w:val="de-AT"/>
      </w:rPr>
      <w:t xml:space="preserve">Die Liste der Geschäftsführer und Rechtsanwälte von CMS Reich-Rohrwig Hainz Rechtsanwälte GmbH ist auf unserer Homepage unter </w:t>
    </w:r>
    <w:r w:rsidRPr="00992435">
      <w:rPr>
        <w:rStyle w:val="Third"/>
        <w:lang w:val="de-AT"/>
      </w:rPr>
      <w:br/>
    </w:r>
    <w:r w:rsidRPr="00C3690B">
      <w:rPr>
        <w:rFonts w:ascii="Arial" w:hAnsi="Arial" w:cs="Arial"/>
        <w:lang w:val="de-AT"/>
      </w:rPr>
      <w:t>www.cms-rrh.com/disclaimer</w:t>
    </w:r>
    <w:r w:rsidRPr="00992435">
      <w:rPr>
        <w:rStyle w:val="Third"/>
        <w:lang w:val="de-AT"/>
      </w:rPr>
      <w:t xml:space="preserve"> einzusehen.</w:t>
    </w:r>
    <w:r>
      <w:rPr>
        <w:rStyle w:val="Third"/>
        <w:lang w:val="de-AT"/>
      </w:rPr>
      <w:t xml:space="preserve"> </w:t>
    </w:r>
    <w:r w:rsidRPr="00C3690B">
      <w:rPr>
        <w:rFonts w:ascii="Arial" w:hAnsi="Arial" w:cs="Arial"/>
        <w:lang w:val="de-AT"/>
      </w:rPr>
      <w:t xml:space="preserve">CMS Reich-Rohrwig Hainz ist Mitglied von CMS, dem Verbund europäischer Anwaltssozietäten. In bestimmten Fällen dient CMS als Marken- oder Firmenname einzelner beziehungsweise aller Mitgliedssozietäten. </w:t>
    </w:r>
    <w:r w:rsidRPr="008E450F">
      <w:rPr>
        <w:rFonts w:ascii="Arial" w:hAnsi="Arial" w:cs="Arial"/>
        <w:lang w:val="de-AT"/>
      </w:rPr>
      <w:t xml:space="preserve">Weitere Informationen finden Sie unter www.cmslegal.com. </w:t>
    </w:r>
  </w:p>
  <w:p w:rsidR="00F64D74" w:rsidRPr="008E450F" w:rsidRDefault="00E02598" w:rsidP="00F64D74">
    <w:pPr>
      <w:pStyle w:val="Fuzeile1"/>
      <w:pBdr>
        <w:top w:val="single" w:sz="4" w:space="3" w:color="auto"/>
      </w:pBdr>
      <w:rPr>
        <w:rStyle w:val="Third"/>
        <w:lang w:val="de-AT"/>
      </w:rPr>
    </w:pPr>
    <w:r w:rsidRPr="00F74040">
      <w:rPr>
        <w:rFonts w:ascii="Arial" w:hAnsi="Arial" w:cs="Arial"/>
        <w:b/>
        <w:bCs/>
        <w:lang w:val="de-AT"/>
      </w:rPr>
      <w:t xml:space="preserve">CMS </w:t>
    </w:r>
    <w:proofErr w:type="spellStart"/>
    <w:r w:rsidRPr="00F74040">
      <w:rPr>
        <w:rFonts w:ascii="Arial" w:hAnsi="Arial" w:cs="Arial"/>
        <w:b/>
        <w:bCs/>
        <w:lang w:val="de-AT"/>
      </w:rPr>
      <w:t>locations</w:t>
    </w:r>
    <w:proofErr w:type="spellEnd"/>
    <w:r w:rsidRPr="00F74040">
      <w:rPr>
        <w:rFonts w:ascii="Arial" w:hAnsi="Arial" w:cs="Arial"/>
        <w:b/>
        <w:bCs/>
        <w:lang w:val="de-AT"/>
      </w:rPr>
      <w:t>:</w:t>
    </w:r>
    <w:r w:rsidRPr="00E02598">
      <w:rPr>
        <w:rFonts w:ascii="Arial" w:hAnsi="Arial" w:cs="Arial"/>
        <w:bCs/>
        <w:lang w:val="de-AT"/>
      </w:rPr>
      <w:t xml:space="preserve"> Aberdeen, Algiers, Amsterdam, </w:t>
    </w:r>
    <w:proofErr w:type="spellStart"/>
    <w:r w:rsidRPr="00E02598">
      <w:rPr>
        <w:rFonts w:ascii="Arial" w:hAnsi="Arial" w:cs="Arial"/>
        <w:bCs/>
        <w:lang w:val="de-AT"/>
      </w:rPr>
      <w:t>Antwerp</w:t>
    </w:r>
    <w:proofErr w:type="spellEnd"/>
    <w:r w:rsidRPr="00E02598">
      <w:rPr>
        <w:rFonts w:ascii="Arial" w:hAnsi="Arial" w:cs="Arial"/>
        <w:bCs/>
        <w:lang w:val="de-AT"/>
      </w:rPr>
      <w:t xml:space="preserve">, Barcelona, Beijing, </w:t>
    </w:r>
    <w:proofErr w:type="spellStart"/>
    <w:r w:rsidRPr="00E02598">
      <w:rPr>
        <w:rFonts w:ascii="Arial" w:hAnsi="Arial" w:cs="Arial"/>
        <w:bCs/>
        <w:lang w:val="de-AT"/>
      </w:rPr>
      <w:t>Belgrade</w:t>
    </w:r>
    <w:proofErr w:type="spellEnd"/>
    <w:r w:rsidRPr="00E02598">
      <w:rPr>
        <w:rFonts w:ascii="Arial" w:hAnsi="Arial" w:cs="Arial"/>
        <w:bCs/>
        <w:lang w:val="de-AT"/>
      </w:rPr>
      <w:t xml:space="preserve">, Berlin, Bratislava, Bristol, </w:t>
    </w:r>
    <w:proofErr w:type="spellStart"/>
    <w:r w:rsidRPr="00E02598">
      <w:rPr>
        <w:rFonts w:ascii="Arial" w:hAnsi="Arial" w:cs="Arial"/>
        <w:bCs/>
        <w:lang w:val="de-AT"/>
      </w:rPr>
      <w:t>Brussels</w:t>
    </w:r>
    <w:proofErr w:type="spellEnd"/>
    <w:r w:rsidRPr="00E02598">
      <w:rPr>
        <w:rFonts w:ascii="Arial" w:hAnsi="Arial" w:cs="Arial"/>
        <w:bCs/>
        <w:lang w:val="de-AT"/>
      </w:rPr>
      <w:t xml:space="preserve">, </w:t>
    </w:r>
    <w:proofErr w:type="spellStart"/>
    <w:r w:rsidRPr="00E02598">
      <w:rPr>
        <w:rFonts w:ascii="Arial" w:hAnsi="Arial" w:cs="Arial"/>
        <w:bCs/>
        <w:lang w:val="de-AT"/>
      </w:rPr>
      <w:t>Bucharest</w:t>
    </w:r>
    <w:proofErr w:type="spellEnd"/>
    <w:r w:rsidRPr="00E02598">
      <w:rPr>
        <w:rFonts w:ascii="Arial" w:hAnsi="Arial" w:cs="Arial"/>
        <w:bCs/>
        <w:lang w:val="de-AT"/>
      </w:rPr>
      <w:t xml:space="preserve">, Budapest, Casablanca, Cologne, Dubai, </w:t>
    </w:r>
    <w:proofErr w:type="spellStart"/>
    <w:r w:rsidRPr="00E02598">
      <w:rPr>
        <w:rFonts w:ascii="Arial" w:hAnsi="Arial" w:cs="Arial"/>
        <w:bCs/>
        <w:lang w:val="de-AT"/>
      </w:rPr>
      <w:t>Duesseldorf</w:t>
    </w:r>
    <w:proofErr w:type="spellEnd"/>
    <w:r w:rsidRPr="00E02598">
      <w:rPr>
        <w:rFonts w:ascii="Arial" w:hAnsi="Arial" w:cs="Arial"/>
        <w:bCs/>
        <w:lang w:val="de-AT"/>
      </w:rPr>
      <w:t xml:space="preserve">, Edinburgh, Frankfurt, </w:t>
    </w:r>
    <w:proofErr w:type="spellStart"/>
    <w:r w:rsidRPr="00E02598">
      <w:rPr>
        <w:rFonts w:ascii="Arial" w:hAnsi="Arial" w:cs="Arial"/>
        <w:bCs/>
        <w:lang w:val="de-AT"/>
      </w:rPr>
      <w:t>Geneva</w:t>
    </w:r>
    <w:proofErr w:type="spellEnd"/>
    <w:r w:rsidRPr="00E02598">
      <w:rPr>
        <w:rFonts w:ascii="Arial" w:hAnsi="Arial" w:cs="Arial"/>
        <w:bCs/>
        <w:lang w:val="de-AT"/>
      </w:rPr>
      <w:t xml:space="preserve">, Glasgow, Hamburg, Istanbul, </w:t>
    </w:r>
    <w:proofErr w:type="spellStart"/>
    <w:r w:rsidRPr="00E02598">
      <w:rPr>
        <w:rFonts w:ascii="Arial" w:hAnsi="Arial" w:cs="Arial"/>
        <w:bCs/>
        <w:lang w:val="de-AT"/>
      </w:rPr>
      <w:t>Kyiv</w:t>
    </w:r>
    <w:proofErr w:type="spellEnd"/>
    <w:r w:rsidRPr="00E02598">
      <w:rPr>
        <w:rFonts w:ascii="Arial" w:hAnsi="Arial" w:cs="Arial"/>
        <w:bCs/>
        <w:lang w:val="de-AT"/>
      </w:rPr>
      <w:t xml:space="preserve">, Leipzig, </w:t>
    </w:r>
    <w:proofErr w:type="spellStart"/>
    <w:r w:rsidRPr="00E02598">
      <w:rPr>
        <w:rFonts w:ascii="Arial" w:hAnsi="Arial" w:cs="Arial"/>
        <w:bCs/>
        <w:lang w:val="de-AT"/>
      </w:rPr>
      <w:t>Lisbon</w:t>
    </w:r>
    <w:proofErr w:type="spellEnd"/>
    <w:r w:rsidRPr="00E02598">
      <w:rPr>
        <w:rFonts w:ascii="Arial" w:hAnsi="Arial" w:cs="Arial"/>
        <w:bCs/>
        <w:lang w:val="de-AT"/>
      </w:rPr>
      <w:t xml:space="preserve">, Ljubljana, London, Luxembourg, Lyon, Madrid, Mexico City, Milan, </w:t>
    </w:r>
    <w:proofErr w:type="spellStart"/>
    <w:r w:rsidRPr="00E02598">
      <w:rPr>
        <w:rFonts w:ascii="Arial" w:hAnsi="Arial" w:cs="Arial"/>
        <w:bCs/>
        <w:lang w:val="de-AT"/>
      </w:rPr>
      <w:t>Moscow</w:t>
    </w:r>
    <w:proofErr w:type="spellEnd"/>
    <w:r w:rsidRPr="00E02598">
      <w:rPr>
        <w:rFonts w:ascii="Arial" w:hAnsi="Arial" w:cs="Arial"/>
        <w:bCs/>
        <w:lang w:val="de-AT"/>
      </w:rPr>
      <w:t xml:space="preserve">, </w:t>
    </w:r>
    <w:proofErr w:type="spellStart"/>
    <w:r w:rsidRPr="00E02598">
      <w:rPr>
        <w:rFonts w:ascii="Arial" w:hAnsi="Arial" w:cs="Arial"/>
        <w:bCs/>
        <w:lang w:val="de-AT"/>
      </w:rPr>
      <w:t>Munich</w:t>
    </w:r>
    <w:proofErr w:type="spellEnd"/>
    <w:r w:rsidRPr="00E02598">
      <w:rPr>
        <w:rFonts w:ascii="Arial" w:hAnsi="Arial" w:cs="Arial"/>
        <w:bCs/>
        <w:lang w:val="de-AT"/>
      </w:rPr>
      <w:t xml:space="preserve">, Muscat, Paris, Podgorica, </w:t>
    </w:r>
    <w:proofErr w:type="spellStart"/>
    <w:r w:rsidRPr="00E02598">
      <w:rPr>
        <w:rFonts w:ascii="Arial" w:hAnsi="Arial" w:cs="Arial"/>
        <w:bCs/>
        <w:lang w:val="de-AT"/>
      </w:rPr>
      <w:t>Prague</w:t>
    </w:r>
    <w:proofErr w:type="spellEnd"/>
    <w:r w:rsidRPr="00E02598">
      <w:rPr>
        <w:rFonts w:ascii="Arial" w:hAnsi="Arial" w:cs="Arial"/>
        <w:bCs/>
        <w:lang w:val="de-AT"/>
      </w:rPr>
      <w:t xml:space="preserve">, Rio de Janeiro, </w:t>
    </w:r>
    <w:proofErr w:type="spellStart"/>
    <w:r w:rsidRPr="00E02598">
      <w:rPr>
        <w:rFonts w:ascii="Arial" w:hAnsi="Arial" w:cs="Arial"/>
        <w:bCs/>
        <w:lang w:val="de-AT"/>
      </w:rPr>
      <w:t>Rome</w:t>
    </w:r>
    <w:proofErr w:type="spellEnd"/>
    <w:r w:rsidRPr="00E02598">
      <w:rPr>
        <w:rFonts w:ascii="Arial" w:hAnsi="Arial" w:cs="Arial"/>
        <w:bCs/>
        <w:lang w:val="de-AT"/>
      </w:rPr>
      <w:t xml:space="preserve">, Sarajevo, </w:t>
    </w:r>
    <w:proofErr w:type="spellStart"/>
    <w:r w:rsidRPr="00E02598">
      <w:rPr>
        <w:rFonts w:ascii="Arial" w:hAnsi="Arial" w:cs="Arial"/>
        <w:bCs/>
        <w:lang w:val="de-AT"/>
      </w:rPr>
      <w:t>Seville</w:t>
    </w:r>
    <w:proofErr w:type="spellEnd"/>
    <w:r w:rsidRPr="00E02598">
      <w:rPr>
        <w:rFonts w:ascii="Arial" w:hAnsi="Arial" w:cs="Arial"/>
        <w:bCs/>
        <w:lang w:val="de-AT"/>
      </w:rPr>
      <w:t xml:space="preserve">, Shanghai, Sofia, Strasbourg, Stuttgart, Tirana, Utrecht, Vienna, </w:t>
    </w:r>
    <w:proofErr w:type="spellStart"/>
    <w:r w:rsidRPr="00E02598">
      <w:rPr>
        <w:rFonts w:ascii="Arial" w:hAnsi="Arial" w:cs="Arial"/>
        <w:bCs/>
        <w:lang w:val="de-AT"/>
      </w:rPr>
      <w:t>Warsaw</w:t>
    </w:r>
    <w:proofErr w:type="spellEnd"/>
    <w:r w:rsidRPr="00E02598">
      <w:rPr>
        <w:rFonts w:ascii="Arial" w:hAnsi="Arial" w:cs="Arial"/>
        <w:bCs/>
        <w:lang w:val="de-AT"/>
      </w:rPr>
      <w:t xml:space="preserve">, Zagreb </w:t>
    </w:r>
    <w:proofErr w:type="spellStart"/>
    <w:r w:rsidRPr="00E02598">
      <w:rPr>
        <w:rFonts w:ascii="Arial" w:hAnsi="Arial" w:cs="Arial"/>
        <w:bCs/>
        <w:lang w:val="de-AT"/>
      </w:rPr>
      <w:t>and</w:t>
    </w:r>
    <w:proofErr w:type="spellEnd"/>
    <w:r w:rsidRPr="00E02598">
      <w:rPr>
        <w:rFonts w:ascii="Arial" w:hAnsi="Arial" w:cs="Arial"/>
        <w:bCs/>
        <w:lang w:val="de-AT"/>
      </w:rPr>
      <w:t xml:space="preserve"> </w:t>
    </w:r>
    <w:proofErr w:type="spellStart"/>
    <w:r w:rsidRPr="00E02598">
      <w:rPr>
        <w:rFonts w:ascii="Arial" w:hAnsi="Arial" w:cs="Arial"/>
        <w:bCs/>
        <w:lang w:val="de-AT"/>
      </w:rPr>
      <w:t>Zurich</w:t>
    </w:r>
    <w:proofErr w:type="spellEnd"/>
    <w:r w:rsidRPr="00E02598">
      <w:rPr>
        <w:rFonts w:ascii="Arial" w:hAnsi="Arial" w:cs="Arial"/>
        <w:bCs/>
        <w:lang w:val="de-A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E1" w:rsidRDefault="008A65E1" w:rsidP="003F74BE">
      <w:pPr>
        <w:spacing w:line="240" w:lineRule="auto"/>
      </w:pPr>
      <w:r>
        <w:separator/>
      </w:r>
    </w:p>
  </w:footnote>
  <w:footnote w:type="continuationSeparator" w:id="0">
    <w:p w:rsidR="008A65E1" w:rsidRDefault="008A65E1" w:rsidP="003F74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838" w:rsidRPr="00B35311" w:rsidRDefault="00A6515E" w:rsidP="0031351D">
    <w:pPr>
      <w:autoSpaceDE w:val="0"/>
      <w:autoSpaceDN w:val="0"/>
      <w:adjustRightInd w:val="0"/>
      <w:spacing w:line="240" w:lineRule="auto"/>
      <w:ind w:left="7371" w:right="-284"/>
      <w:rPr>
        <w:rFonts w:ascii="Arial" w:hAnsi="Arial" w:cs="Arial"/>
        <w:b/>
        <w:bCs/>
        <w:color w:val="13294A"/>
        <w:sz w:val="15"/>
        <w:szCs w:val="15"/>
      </w:rPr>
    </w:pPr>
    <w:r>
      <w:rPr>
        <w:noProof/>
        <w:lang w:eastAsia="de-AT"/>
      </w:rPr>
      <w:drawing>
        <wp:anchor distT="0" distB="0" distL="114300" distR="114300" simplePos="0" relativeHeight="251655167" behindDoc="0" locked="0" layoutInCell="1" allowOverlap="1" wp14:anchorId="40557A80" wp14:editId="2A496043">
          <wp:simplePos x="0" y="0"/>
          <wp:positionH relativeFrom="column">
            <wp:posOffset>4699421</wp:posOffset>
          </wp:positionH>
          <wp:positionV relativeFrom="paragraph">
            <wp:posOffset>31371</wp:posOffset>
          </wp:positionV>
          <wp:extent cx="867410" cy="511012"/>
          <wp:effectExtent l="0" t="0" r="0" b="3810"/>
          <wp:wrapNone/>
          <wp:docPr id="14" name="Picture 3" descr="CMSLegal_T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4612" cy="5211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838" w:rsidRPr="007B794E" w:rsidRDefault="001B0FBE">
    <w:pPr>
      <w:pStyle w:val="Kopfzeile"/>
    </w:pPr>
    <w:r>
      <w:rPr>
        <w:noProof/>
        <w:lang w:eastAsia="de-AT"/>
      </w:rPr>
      <w:drawing>
        <wp:anchor distT="0" distB="0" distL="114300" distR="114300" simplePos="0" relativeHeight="251656192" behindDoc="0" locked="0" layoutInCell="1" allowOverlap="1" wp14:anchorId="5A19C923" wp14:editId="2A46292B">
          <wp:simplePos x="0" y="0"/>
          <wp:positionH relativeFrom="column">
            <wp:posOffset>4483628</wp:posOffset>
          </wp:positionH>
          <wp:positionV relativeFrom="paragraph">
            <wp:posOffset>76982</wp:posOffset>
          </wp:positionV>
          <wp:extent cx="1095119" cy="645161"/>
          <wp:effectExtent l="19050" t="0" r="0" b="0"/>
          <wp:wrapNone/>
          <wp:docPr id="13" name="Picture 3" descr="CMSLegal_T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5119" cy="645161"/>
                  </a:xfrm>
                  <a:prstGeom prst="rect">
                    <a:avLst/>
                  </a:prstGeom>
                </pic:spPr>
              </pic:pic>
            </a:graphicData>
          </a:graphic>
        </wp:anchor>
      </w:drawing>
    </w:r>
    <w:r w:rsidR="00381838">
      <w:rPr>
        <w:noProof/>
        <w:lang w:eastAsia="de-AT"/>
      </w:rPr>
      <mc:AlternateContent>
        <mc:Choice Requires="wps">
          <w:drawing>
            <wp:anchor distT="0" distB="0" distL="114300" distR="114300" simplePos="0" relativeHeight="251658240" behindDoc="0" locked="0" layoutInCell="1" allowOverlap="1" wp14:anchorId="3152BE4F" wp14:editId="4E5BAF1F">
              <wp:simplePos x="0" y="0"/>
              <wp:positionH relativeFrom="column">
                <wp:posOffset>-773784</wp:posOffset>
              </wp:positionH>
              <wp:positionV relativeFrom="paragraph">
                <wp:posOffset>3373078</wp:posOffset>
              </wp:positionV>
              <wp:extent cx="26670" cy="0"/>
              <wp:effectExtent l="0" t="0" r="11430" b="19050"/>
              <wp:wrapNone/>
              <wp:docPr id="6" name="Gerade Verbindung 6"/>
              <wp:cNvGraphicFramePr/>
              <a:graphic xmlns:a="http://schemas.openxmlformats.org/drawingml/2006/main">
                <a:graphicData uri="http://schemas.microsoft.com/office/word/2010/wordprocessingShape">
                  <wps:wsp>
                    <wps:cNvCnPr/>
                    <wps:spPr>
                      <a:xfrm>
                        <a:off x="0" y="0"/>
                        <a:ext cx="2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8C139" id="Gerade Verbindung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5pt,265.6pt" to="-58.85pt,2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F5E53"/>
    <w:multiLevelType w:val="hybridMultilevel"/>
    <w:tmpl w:val="BE649C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41B87C1E"/>
    <w:multiLevelType w:val="multilevel"/>
    <w:tmpl w:val="3BE06152"/>
    <w:lvl w:ilvl="0">
      <w:start w:val="1"/>
      <w:numFmt w:val="decimal"/>
      <w:pStyle w:val="Randnotiz"/>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
    <w:nsid w:val="46114F81"/>
    <w:multiLevelType w:val="hybridMultilevel"/>
    <w:tmpl w:val="09766A5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467B2CD0"/>
    <w:multiLevelType w:val="multilevel"/>
    <w:tmpl w:val="B9020470"/>
    <w:lvl w:ilvl="0">
      <w:start w:val="1"/>
      <w:numFmt w:val="none"/>
      <w:pStyle w:val="IlNote"/>
      <w:lvlText w:val="INTERNAL NOTE:"/>
      <w:lvlJc w:val="left"/>
      <w:pPr>
        <w:tabs>
          <w:tab w:val="num" w:pos="3119"/>
        </w:tabs>
        <w:ind w:left="3119" w:hanging="2552"/>
      </w:pPr>
    </w:lvl>
    <w:lvl w:ilvl="1">
      <w:start w:val="1"/>
      <w:numFmt w:val="none"/>
      <w:isLgl/>
      <w:lvlText w:val=""/>
      <w:lvlJc w:val="left"/>
      <w:pPr>
        <w:tabs>
          <w:tab w:val="num" w:pos="2007"/>
        </w:tabs>
        <w:ind w:left="567" w:firstLine="0"/>
      </w:pPr>
    </w:lvl>
    <w:lvl w:ilvl="2">
      <w:start w:val="1"/>
      <w:numFmt w:val="none"/>
      <w:lvlText w:val=""/>
      <w:lvlJc w:val="left"/>
      <w:pPr>
        <w:tabs>
          <w:tab w:val="num" w:pos="1287"/>
        </w:tabs>
        <w:ind w:left="1287" w:hanging="432"/>
      </w:pPr>
    </w:lvl>
    <w:lvl w:ilvl="3">
      <w:start w:val="1"/>
      <w:numFmt w:val="none"/>
      <w:lvlText w:val=""/>
      <w:lvlJc w:val="right"/>
      <w:pPr>
        <w:tabs>
          <w:tab w:val="num" w:pos="1431"/>
        </w:tabs>
        <w:ind w:left="1431" w:hanging="144"/>
      </w:pPr>
    </w:lvl>
    <w:lvl w:ilvl="4">
      <w:start w:val="1"/>
      <w:numFmt w:val="none"/>
      <w:lvlText w:val=""/>
      <w:lvlJc w:val="left"/>
      <w:pPr>
        <w:tabs>
          <w:tab w:val="num" w:pos="1575"/>
        </w:tabs>
        <w:ind w:left="1575" w:hanging="432"/>
      </w:pPr>
    </w:lvl>
    <w:lvl w:ilvl="5">
      <w:start w:val="1"/>
      <w:numFmt w:val="none"/>
      <w:lvlText w:val=""/>
      <w:lvlJc w:val="left"/>
      <w:pPr>
        <w:tabs>
          <w:tab w:val="num" w:pos="1719"/>
        </w:tabs>
        <w:ind w:left="1719" w:hanging="432"/>
      </w:pPr>
    </w:lvl>
    <w:lvl w:ilvl="6">
      <w:start w:val="1"/>
      <w:numFmt w:val="none"/>
      <w:lvlText w:val=""/>
      <w:lvlJc w:val="right"/>
      <w:pPr>
        <w:tabs>
          <w:tab w:val="num" w:pos="1863"/>
        </w:tabs>
        <w:ind w:left="1863" w:hanging="288"/>
      </w:pPr>
    </w:lvl>
    <w:lvl w:ilvl="7">
      <w:start w:val="1"/>
      <w:numFmt w:val="none"/>
      <w:lvlText w:val=""/>
      <w:lvlJc w:val="left"/>
      <w:pPr>
        <w:tabs>
          <w:tab w:val="num" w:pos="2007"/>
        </w:tabs>
        <w:ind w:left="2007" w:hanging="432"/>
      </w:pPr>
    </w:lvl>
    <w:lvl w:ilvl="8">
      <w:start w:val="1"/>
      <w:numFmt w:val="none"/>
      <w:lvlText w:val=""/>
      <w:lvlJc w:val="right"/>
      <w:pPr>
        <w:tabs>
          <w:tab w:val="num" w:pos="2151"/>
        </w:tabs>
        <w:ind w:left="2151" w:hanging="144"/>
      </w:pPr>
    </w:lvl>
  </w:abstractNum>
  <w:abstractNum w:abstractNumId="4">
    <w:nsid w:val="4B607788"/>
    <w:multiLevelType w:val="hybridMultilevel"/>
    <w:tmpl w:val="2C54FC6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51D93E1B"/>
    <w:multiLevelType w:val="multilevel"/>
    <w:tmpl w:val="226E2E44"/>
    <w:name w:val="CMSNums"/>
    <w:lvl w:ilvl="0">
      <w:start w:val="1"/>
      <w:numFmt w:val="lowerRoman"/>
      <w:lvlRestart w:val="0"/>
      <w:lvlText w:val="(%1)"/>
      <w:lvlJc w:val="left"/>
      <w:pPr>
        <w:ind w:left="1417" w:hanging="708"/>
      </w:pPr>
      <w:rPr>
        <w:rFonts w:ascii="Times New Roman" w:hAnsi="Times New Roman" w:cs="Times New Roman"/>
      </w:rPr>
    </w:lvl>
    <w:lvl w:ilvl="1">
      <w:start w:val="1"/>
      <w:numFmt w:val="lowerRoman"/>
      <w:lvlRestart w:val="0"/>
      <w:lvlText w:val="(%2)"/>
      <w:lvlJc w:val="left"/>
      <w:pPr>
        <w:ind w:left="2126" w:hanging="709"/>
      </w:pPr>
      <w:rPr>
        <w:rFonts w:ascii="Times New Roman" w:hAnsi="Times New Roman" w:cs="Times New Roman"/>
      </w:rPr>
    </w:lvl>
    <w:lvl w:ilvl="2">
      <w:start w:val="1"/>
      <w:numFmt w:val="lowerRoman"/>
      <w:lvlText w:val="(%3)"/>
      <w:lvlJc w:val="left"/>
      <w:pPr>
        <w:ind w:left="2835" w:hanging="709"/>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07F25B9"/>
    <w:multiLevelType w:val="multilevel"/>
    <w:tmpl w:val="E1B8ED7E"/>
    <w:name w:val="CMS-Heading"/>
    <w:lvl w:ilvl="0">
      <w:start w:val="1"/>
      <w:numFmt w:val="decimal"/>
      <w:lvlRestart w:val="0"/>
      <w:lvlText w:val="%1."/>
      <w:lvlJc w:val="left"/>
      <w:pPr>
        <w:ind w:left="709" w:hanging="709"/>
      </w:pPr>
    </w:lvl>
    <w:lvl w:ilvl="1">
      <w:start w:val="1"/>
      <w:numFmt w:val="decimal"/>
      <w:lvlRestart w:val="0"/>
      <w:lvlText w:val="%1.%2"/>
      <w:lvlJc w:val="left"/>
      <w:pPr>
        <w:ind w:left="709" w:hanging="709"/>
      </w:pPr>
    </w:lvl>
    <w:lvl w:ilvl="2">
      <w:start w:val="1"/>
      <w:numFmt w:val="decimal"/>
      <w:lvlRestart w:val="0"/>
      <w:lvlText w:val="%1.%2.%3"/>
      <w:lvlJc w:val="left"/>
      <w:pPr>
        <w:ind w:left="1417" w:hanging="708"/>
      </w:pPr>
    </w:lvl>
    <w:lvl w:ilvl="3">
      <w:start w:val="1"/>
      <w:numFmt w:val="lowerLetter"/>
      <w:lvlRestart w:val="0"/>
      <w:lvlText w:val="(%1)"/>
      <w:lvlJc w:val="left"/>
      <w:pPr>
        <w:ind w:left="2126" w:hanging="709"/>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BC5346C"/>
    <w:multiLevelType w:val="multilevel"/>
    <w:tmpl w:val="95F42B16"/>
    <w:name w:val="CMSDashlist"/>
    <w:lvl w:ilvl="0">
      <w:start w:val="1"/>
      <w:numFmt w:val="lowerRoman"/>
      <w:lvlRestart w:val="0"/>
      <w:lvlText w:val=""/>
      <w:lvlJc w:val="left"/>
      <w:pPr>
        <w:ind w:left="709" w:hanging="709"/>
      </w:pPr>
      <w:rPr>
        <w:rFonts w:ascii="Symbol" w:hAnsi="Symbol" w:hint="default"/>
      </w:rPr>
    </w:lvl>
    <w:lvl w:ilvl="1">
      <w:start w:val="1"/>
      <w:numFmt w:val="lowerRoman"/>
      <w:lvlRestart w:val="0"/>
      <w:lvlText w:val=""/>
      <w:lvlJc w:val="left"/>
      <w:pPr>
        <w:ind w:left="1134" w:hanging="709"/>
      </w:pPr>
      <w:rPr>
        <w:rFonts w:ascii="Symbol" w:hAnsi="Symbol" w:hint="default"/>
      </w:rPr>
    </w:lvl>
    <w:lvl w:ilvl="2">
      <w:start w:val="1"/>
      <w:numFmt w:val="lowerRoman"/>
      <w:lvlRestart w:val="0"/>
      <w:lvlText w:val=""/>
      <w:lvlJc w:val="left"/>
      <w:pPr>
        <w:ind w:left="1559" w:hanging="709"/>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F564BFA"/>
    <w:multiLevelType w:val="multilevel"/>
    <w:tmpl w:val="97D2D992"/>
    <w:lvl w:ilvl="0">
      <w:start w:val="1"/>
      <w:numFmt w:val="decimal"/>
      <w:pStyle w:val="H1"/>
      <w:lvlText w:val="%1."/>
      <w:lvlJc w:val="left"/>
      <w:pPr>
        <w:ind w:left="709" w:hanging="709"/>
      </w:pPr>
      <w:rPr>
        <w:rFonts w:hint="default"/>
      </w:rPr>
    </w:lvl>
    <w:lvl w:ilvl="1">
      <w:start w:val="1"/>
      <w:numFmt w:val="decimal"/>
      <w:pStyle w:val="H2"/>
      <w:lvlText w:val="%1.%2"/>
      <w:lvlJc w:val="left"/>
      <w:pPr>
        <w:ind w:left="709" w:hanging="709"/>
      </w:pPr>
      <w:rPr>
        <w:rFonts w:hint="default"/>
      </w:rPr>
    </w:lvl>
    <w:lvl w:ilvl="2">
      <w:start w:val="1"/>
      <w:numFmt w:val="decimal"/>
      <w:pStyle w:val="H3"/>
      <w:lvlText w:val="%1.%2.%3"/>
      <w:lvlJc w:val="left"/>
      <w:pPr>
        <w:ind w:left="709" w:hanging="709"/>
      </w:pPr>
      <w:rPr>
        <w:rFonts w:hint="default"/>
      </w:rPr>
    </w:lvl>
    <w:lvl w:ilvl="3">
      <w:start w:val="1"/>
      <w:numFmt w:val="lowerLetter"/>
      <w:pStyle w:val="H4"/>
      <w:lvlText w:val="(%4)"/>
      <w:lvlJc w:val="left"/>
      <w:pPr>
        <w:ind w:left="1418"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8"/>
  </w:num>
  <w:num w:numId="6">
    <w:abstractNumId w:val="8"/>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BB"/>
    <w:rsid w:val="00001140"/>
    <w:rsid w:val="000019D9"/>
    <w:rsid w:val="00013DA0"/>
    <w:rsid w:val="00034836"/>
    <w:rsid w:val="00034F43"/>
    <w:rsid w:val="0003573D"/>
    <w:rsid w:val="0005096C"/>
    <w:rsid w:val="00053431"/>
    <w:rsid w:val="00053A6C"/>
    <w:rsid w:val="0006540A"/>
    <w:rsid w:val="00070A17"/>
    <w:rsid w:val="00071C28"/>
    <w:rsid w:val="00074FE9"/>
    <w:rsid w:val="00091E25"/>
    <w:rsid w:val="0009422C"/>
    <w:rsid w:val="000A6016"/>
    <w:rsid w:val="000B275E"/>
    <w:rsid w:val="000B32F8"/>
    <w:rsid w:val="000B4126"/>
    <w:rsid w:val="000C1A48"/>
    <w:rsid w:val="000C3EC5"/>
    <w:rsid w:val="000C6BD3"/>
    <w:rsid w:val="000D677F"/>
    <w:rsid w:val="00100B05"/>
    <w:rsid w:val="00100E58"/>
    <w:rsid w:val="00107DF3"/>
    <w:rsid w:val="00131E74"/>
    <w:rsid w:val="0013229B"/>
    <w:rsid w:val="00137AD5"/>
    <w:rsid w:val="00143ACB"/>
    <w:rsid w:val="00147E6C"/>
    <w:rsid w:val="001517B1"/>
    <w:rsid w:val="00164E48"/>
    <w:rsid w:val="00170041"/>
    <w:rsid w:val="00171F69"/>
    <w:rsid w:val="00172AB7"/>
    <w:rsid w:val="00180525"/>
    <w:rsid w:val="0019262B"/>
    <w:rsid w:val="00192C94"/>
    <w:rsid w:val="001A2AAA"/>
    <w:rsid w:val="001A49D6"/>
    <w:rsid w:val="001B0FBE"/>
    <w:rsid w:val="001B204F"/>
    <w:rsid w:val="001B7AB9"/>
    <w:rsid w:val="001C31C6"/>
    <w:rsid w:val="001C6E08"/>
    <w:rsid w:val="001D2E88"/>
    <w:rsid w:val="001D5DAA"/>
    <w:rsid w:val="001F2F35"/>
    <w:rsid w:val="00204DCF"/>
    <w:rsid w:val="002524ED"/>
    <w:rsid w:val="0026218E"/>
    <w:rsid w:val="00270127"/>
    <w:rsid w:val="00274E89"/>
    <w:rsid w:val="00283DDE"/>
    <w:rsid w:val="00291D2A"/>
    <w:rsid w:val="002A24E6"/>
    <w:rsid w:val="002A38DE"/>
    <w:rsid w:val="002C2012"/>
    <w:rsid w:val="002C339B"/>
    <w:rsid w:val="002C5051"/>
    <w:rsid w:val="002D225C"/>
    <w:rsid w:val="002F118D"/>
    <w:rsid w:val="002F73A5"/>
    <w:rsid w:val="003108D4"/>
    <w:rsid w:val="0031351D"/>
    <w:rsid w:val="003218C0"/>
    <w:rsid w:val="0035386E"/>
    <w:rsid w:val="00354D21"/>
    <w:rsid w:val="00364C36"/>
    <w:rsid w:val="00365489"/>
    <w:rsid w:val="003677BA"/>
    <w:rsid w:val="0037275C"/>
    <w:rsid w:val="00375410"/>
    <w:rsid w:val="00381838"/>
    <w:rsid w:val="0038408B"/>
    <w:rsid w:val="003B1703"/>
    <w:rsid w:val="003C7C19"/>
    <w:rsid w:val="003E4A8A"/>
    <w:rsid w:val="003F74BE"/>
    <w:rsid w:val="00411F30"/>
    <w:rsid w:val="00413305"/>
    <w:rsid w:val="004224BA"/>
    <w:rsid w:val="00427C80"/>
    <w:rsid w:val="004377CD"/>
    <w:rsid w:val="004611CC"/>
    <w:rsid w:val="00487012"/>
    <w:rsid w:val="004951F1"/>
    <w:rsid w:val="00495984"/>
    <w:rsid w:val="00495B79"/>
    <w:rsid w:val="004A2265"/>
    <w:rsid w:val="004A7BBF"/>
    <w:rsid w:val="004B0902"/>
    <w:rsid w:val="004B7D5F"/>
    <w:rsid w:val="004C0DEC"/>
    <w:rsid w:val="004C1E71"/>
    <w:rsid w:val="004C34B7"/>
    <w:rsid w:val="004D439D"/>
    <w:rsid w:val="004E1E37"/>
    <w:rsid w:val="004E393E"/>
    <w:rsid w:val="005123C3"/>
    <w:rsid w:val="005258F9"/>
    <w:rsid w:val="00552CB9"/>
    <w:rsid w:val="00566E00"/>
    <w:rsid w:val="00572E4D"/>
    <w:rsid w:val="005841FD"/>
    <w:rsid w:val="005A0228"/>
    <w:rsid w:val="005A73F2"/>
    <w:rsid w:val="005C1969"/>
    <w:rsid w:val="005C25D9"/>
    <w:rsid w:val="005C3E1B"/>
    <w:rsid w:val="005C74F1"/>
    <w:rsid w:val="005D59D9"/>
    <w:rsid w:val="005D6B27"/>
    <w:rsid w:val="005E4F40"/>
    <w:rsid w:val="005E752F"/>
    <w:rsid w:val="005F5508"/>
    <w:rsid w:val="00611B11"/>
    <w:rsid w:val="00616CDB"/>
    <w:rsid w:val="006309BB"/>
    <w:rsid w:val="00634D00"/>
    <w:rsid w:val="006372C7"/>
    <w:rsid w:val="006374E0"/>
    <w:rsid w:val="00643880"/>
    <w:rsid w:val="0065118A"/>
    <w:rsid w:val="00653A70"/>
    <w:rsid w:val="00662B4D"/>
    <w:rsid w:val="0067467B"/>
    <w:rsid w:val="00683627"/>
    <w:rsid w:val="00691FEB"/>
    <w:rsid w:val="006958D8"/>
    <w:rsid w:val="00697BDA"/>
    <w:rsid w:val="006B279C"/>
    <w:rsid w:val="006B6A59"/>
    <w:rsid w:val="006D4773"/>
    <w:rsid w:val="006D6204"/>
    <w:rsid w:val="006E508B"/>
    <w:rsid w:val="006E5F20"/>
    <w:rsid w:val="006F1D9B"/>
    <w:rsid w:val="00706019"/>
    <w:rsid w:val="00706A5D"/>
    <w:rsid w:val="00707701"/>
    <w:rsid w:val="007122C7"/>
    <w:rsid w:val="00715E75"/>
    <w:rsid w:val="007206AF"/>
    <w:rsid w:val="007359C0"/>
    <w:rsid w:val="0073618F"/>
    <w:rsid w:val="00737567"/>
    <w:rsid w:val="007439A2"/>
    <w:rsid w:val="00766C2B"/>
    <w:rsid w:val="00782860"/>
    <w:rsid w:val="007850F9"/>
    <w:rsid w:val="00792DCC"/>
    <w:rsid w:val="007B3784"/>
    <w:rsid w:val="007B69DD"/>
    <w:rsid w:val="007B794E"/>
    <w:rsid w:val="007C18C8"/>
    <w:rsid w:val="007C4621"/>
    <w:rsid w:val="007C61B5"/>
    <w:rsid w:val="007E7DE1"/>
    <w:rsid w:val="007F4085"/>
    <w:rsid w:val="007F6A41"/>
    <w:rsid w:val="008113D1"/>
    <w:rsid w:val="008270EE"/>
    <w:rsid w:val="00833210"/>
    <w:rsid w:val="00833B65"/>
    <w:rsid w:val="008350A6"/>
    <w:rsid w:val="0084452F"/>
    <w:rsid w:val="008637A7"/>
    <w:rsid w:val="00866D7C"/>
    <w:rsid w:val="00867EEA"/>
    <w:rsid w:val="00880DC5"/>
    <w:rsid w:val="008879CA"/>
    <w:rsid w:val="008900E0"/>
    <w:rsid w:val="00890ADE"/>
    <w:rsid w:val="008A3DE7"/>
    <w:rsid w:val="008A65E1"/>
    <w:rsid w:val="008A6E73"/>
    <w:rsid w:val="008B0BA9"/>
    <w:rsid w:val="008B6A97"/>
    <w:rsid w:val="008C1C98"/>
    <w:rsid w:val="008D41DA"/>
    <w:rsid w:val="008E406B"/>
    <w:rsid w:val="0091421E"/>
    <w:rsid w:val="00927355"/>
    <w:rsid w:val="0095250A"/>
    <w:rsid w:val="0095470C"/>
    <w:rsid w:val="00976B69"/>
    <w:rsid w:val="00982417"/>
    <w:rsid w:val="009B5D61"/>
    <w:rsid w:val="009B7057"/>
    <w:rsid w:val="009E68D7"/>
    <w:rsid w:val="009F06EE"/>
    <w:rsid w:val="00A56EED"/>
    <w:rsid w:val="00A612F2"/>
    <w:rsid w:val="00A6515E"/>
    <w:rsid w:val="00A75DC5"/>
    <w:rsid w:val="00A839E6"/>
    <w:rsid w:val="00A9756E"/>
    <w:rsid w:val="00AA22B0"/>
    <w:rsid w:val="00AB44EC"/>
    <w:rsid w:val="00AF4CCE"/>
    <w:rsid w:val="00AF53F8"/>
    <w:rsid w:val="00B00801"/>
    <w:rsid w:val="00B038A2"/>
    <w:rsid w:val="00B20134"/>
    <w:rsid w:val="00B312A6"/>
    <w:rsid w:val="00B31638"/>
    <w:rsid w:val="00B35311"/>
    <w:rsid w:val="00B44894"/>
    <w:rsid w:val="00B462A7"/>
    <w:rsid w:val="00B6377C"/>
    <w:rsid w:val="00B72C4F"/>
    <w:rsid w:val="00B900F4"/>
    <w:rsid w:val="00BC0DF9"/>
    <w:rsid w:val="00BD0005"/>
    <w:rsid w:val="00BF1BE4"/>
    <w:rsid w:val="00BF4FCC"/>
    <w:rsid w:val="00C01CD4"/>
    <w:rsid w:val="00C0295F"/>
    <w:rsid w:val="00C02CE9"/>
    <w:rsid w:val="00C11F5C"/>
    <w:rsid w:val="00C32167"/>
    <w:rsid w:val="00C40F48"/>
    <w:rsid w:val="00C623BB"/>
    <w:rsid w:val="00C70483"/>
    <w:rsid w:val="00C742A7"/>
    <w:rsid w:val="00C76133"/>
    <w:rsid w:val="00CC593C"/>
    <w:rsid w:val="00CD28C1"/>
    <w:rsid w:val="00CE0556"/>
    <w:rsid w:val="00CE0C7F"/>
    <w:rsid w:val="00CE3555"/>
    <w:rsid w:val="00CF32A9"/>
    <w:rsid w:val="00D05A80"/>
    <w:rsid w:val="00D20EF9"/>
    <w:rsid w:val="00D42529"/>
    <w:rsid w:val="00D4374D"/>
    <w:rsid w:val="00D46E08"/>
    <w:rsid w:val="00D56A5C"/>
    <w:rsid w:val="00D6635A"/>
    <w:rsid w:val="00D71C5B"/>
    <w:rsid w:val="00D75214"/>
    <w:rsid w:val="00D75747"/>
    <w:rsid w:val="00D7587C"/>
    <w:rsid w:val="00DB7D0B"/>
    <w:rsid w:val="00DD3AA6"/>
    <w:rsid w:val="00DF5A04"/>
    <w:rsid w:val="00E02598"/>
    <w:rsid w:val="00E05375"/>
    <w:rsid w:val="00E056A2"/>
    <w:rsid w:val="00E05B0B"/>
    <w:rsid w:val="00E22D50"/>
    <w:rsid w:val="00E23297"/>
    <w:rsid w:val="00E25A52"/>
    <w:rsid w:val="00E33F5C"/>
    <w:rsid w:val="00E625E5"/>
    <w:rsid w:val="00E6731D"/>
    <w:rsid w:val="00E82280"/>
    <w:rsid w:val="00E8351E"/>
    <w:rsid w:val="00E874D1"/>
    <w:rsid w:val="00E9042E"/>
    <w:rsid w:val="00E97346"/>
    <w:rsid w:val="00EB0460"/>
    <w:rsid w:val="00EB5082"/>
    <w:rsid w:val="00EB63A4"/>
    <w:rsid w:val="00EB6BE4"/>
    <w:rsid w:val="00EC5BEF"/>
    <w:rsid w:val="00EC654B"/>
    <w:rsid w:val="00EE35EE"/>
    <w:rsid w:val="00EE5421"/>
    <w:rsid w:val="00EE62BA"/>
    <w:rsid w:val="00EE7F09"/>
    <w:rsid w:val="00EF436E"/>
    <w:rsid w:val="00F0303A"/>
    <w:rsid w:val="00F05513"/>
    <w:rsid w:val="00F2085D"/>
    <w:rsid w:val="00F6269D"/>
    <w:rsid w:val="00F64D74"/>
    <w:rsid w:val="00F74040"/>
    <w:rsid w:val="00F865C1"/>
    <w:rsid w:val="00FA2ACE"/>
    <w:rsid w:val="00FA673D"/>
    <w:rsid w:val="00FB0A38"/>
    <w:rsid w:val="00FB40E2"/>
    <w:rsid w:val="00FB4A6E"/>
    <w:rsid w:val="00FB6AD8"/>
    <w:rsid w:val="00FC6C8B"/>
    <w:rsid w:val="00FD5B15"/>
    <w:rsid w:val="00FD626D"/>
    <w:rsid w:val="00FE07E4"/>
    <w:rsid w:val="00FE2F2E"/>
    <w:rsid w:val="00FE3FC4"/>
    <w:rsid w:val="00FF45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60194BF-BA35-4F7F-A242-00E13255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F5C"/>
    <w:pPr>
      <w:spacing w:before="120" w:after="0" w:line="300" w:lineRule="atLeast"/>
      <w:jc w:val="both"/>
    </w:pPr>
    <w:rPr>
      <w:rFonts w:ascii="Times New Roman" w:hAnsi="Times New Roman"/>
      <w:sz w:val="24"/>
    </w:rPr>
  </w:style>
  <w:style w:type="paragraph" w:styleId="berschrift1">
    <w:name w:val="heading 1"/>
    <w:basedOn w:val="Standard"/>
    <w:next w:val="Standard"/>
    <w:link w:val="berschrift1Zchn"/>
    <w:uiPriority w:val="9"/>
    <w:rsid w:val="00616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FB4A6E"/>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B4A6E"/>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B4A6E"/>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B4A6E"/>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B4A6E"/>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B4A6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B4A6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74B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F74BE"/>
  </w:style>
  <w:style w:type="paragraph" w:styleId="Fuzeile">
    <w:name w:val="footer"/>
    <w:link w:val="FuzeileZchn"/>
    <w:uiPriority w:val="99"/>
    <w:unhideWhenUsed/>
    <w:rsid w:val="00427C80"/>
    <w:pPr>
      <w:tabs>
        <w:tab w:val="center" w:pos="4536"/>
        <w:tab w:val="right" w:pos="9072"/>
      </w:tabs>
      <w:spacing w:after="0" w:line="300" w:lineRule="exact"/>
    </w:pPr>
    <w:rPr>
      <w:rFonts w:ascii="Times New Roman" w:hAnsi="Times New Roman"/>
      <w:sz w:val="20"/>
      <w:szCs w:val="24"/>
      <w:lang w:val="en-GB" w:eastAsia="de-DE"/>
    </w:rPr>
  </w:style>
  <w:style w:type="character" w:customStyle="1" w:styleId="FuzeileZchn">
    <w:name w:val="Fußzeile Zchn"/>
    <w:basedOn w:val="Absatz-Standardschriftart"/>
    <w:link w:val="Fuzeile"/>
    <w:uiPriority w:val="99"/>
    <w:rsid w:val="00427C80"/>
    <w:rPr>
      <w:rFonts w:ascii="Times New Roman" w:hAnsi="Times New Roman"/>
      <w:sz w:val="20"/>
      <w:szCs w:val="24"/>
      <w:lang w:val="en-GB" w:eastAsia="de-DE"/>
    </w:rPr>
  </w:style>
  <w:style w:type="paragraph" w:customStyle="1" w:styleId="BoldblackCharChar">
    <w:name w:val="Bold_black Char Char"/>
    <w:basedOn w:val="Standard"/>
    <w:link w:val="BoldblackCharCharChar"/>
    <w:rsid w:val="00001140"/>
    <w:pPr>
      <w:tabs>
        <w:tab w:val="left" w:pos="2556"/>
      </w:tabs>
      <w:spacing w:after="284" w:line="240" w:lineRule="atLeast"/>
      <w:ind w:left="1440" w:right="720"/>
    </w:pPr>
    <w:rPr>
      <w:rFonts w:ascii="Arial" w:eastAsia="Times New Roman" w:hAnsi="Arial" w:cs="Times New Roman"/>
      <w:b/>
      <w:bCs/>
      <w:color w:val="000000"/>
      <w:sz w:val="18"/>
      <w:szCs w:val="18"/>
      <w:lang w:val="de-DE"/>
    </w:rPr>
  </w:style>
  <w:style w:type="character" w:customStyle="1" w:styleId="BoldblackCharCharChar">
    <w:name w:val="Bold_black Char Char Char"/>
    <w:link w:val="BoldblackCharChar"/>
    <w:rsid w:val="00001140"/>
    <w:rPr>
      <w:rFonts w:ascii="Arial" w:eastAsia="Times New Roman" w:hAnsi="Arial" w:cs="Times New Roman"/>
      <w:b/>
      <w:bCs/>
      <w:color w:val="000000"/>
      <w:sz w:val="18"/>
      <w:szCs w:val="18"/>
      <w:lang w:val="de-DE" w:eastAsia="de-DE"/>
    </w:rPr>
  </w:style>
  <w:style w:type="paragraph" w:customStyle="1" w:styleId="Senderline">
    <w:name w:val="Sender_line"/>
    <w:basedOn w:val="Standard"/>
    <w:link w:val="SenderlineChar"/>
    <w:rsid w:val="0031351D"/>
    <w:pPr>
      <w:autoSpaceDE w:val="0"/>
      <w:autoSpaceDN w:val="0"/>
      <w:adjustRightInd w:val="0"/>
      <w:spacing w:before="0" w:line="200" w:lineRule="atLeast"/>
    </w:pPr>
    <w:rPr>
      <w:rFonts w:eastAsia="Times New Roman" w:cs="Arial"/>
      <w:sz w:val="15"/>
      <w:szCs w:val="15"/>
      <w:lang w:val="de-DE"/>
    </w:rPr>
  </w:style>
  <w:style w:type="paragraph" w:customStyle="1" w:styleId="Senderfirmname">
    <w:name w:val="Sender_firm name"/>
    <w:basedOn w:val="Standard"/>
    <w:rsid w:val="00001140"/>
    <w:pPr>
      <w:autoSpaceDE w:val="0"/>
      <w:autoSpaceDN w:val="0"/>
      <w:adjustRightInd w:val="0"/>
      <w:spacing w:after="60" w:line="200" w:lineRule="atLeast"/>
    </w:pPr>
    <w:rPr>
      <w:rFonts w:ascii="Arial" w:eastAsia="Times New Roman" w:hAnsi="Arial" w:cs="Arial"/>
      <w:b/>
      <w:bCs/>
      <w:color w:val="13294A"/>
      <w:sz w:val="15"/>
      <w:szCs w:val="15"/>
      <w:lang w:val="es-ES"/>
    </w:rPr>
  </w:style>
  <w:style w:type="character" w:customStyle="1" w:styleId="SenderlineChar">
    <w:name w:val="Sender_line Char"/>
    <w:link w:val="Senderline"/>
    <w:rsid w:val="0031351D"/>
    <w:rPr>
      <w:rFonts w:ascii="Times New Roman" w:eastAsia="Times New Roman" w:hAnsi="Times New Roman" w:cs="Arial"/>
      <w:sz w:val="15"/>
      <w:szCs w:val="15"/>
      <w:lang w:val="de-DE" w:eastAsia="de-DE"/>
    </w:rPr>
  </w:style>
  <w:style w:type="character" w:customStyle="1" w:styleId="Third">
    <w:name w:val="Third"/>
    <w:rsid w:val="002C339B"/>
    <w:rPr>
      <w:rFonts w:ascii="Arial" w:hAnsi="Arial" w:hint="default"/>
      <w:sz w:val="13"/>
      <w:szCs w:val="13"/>
    </w:rPr>
  </w:style>
  <w:style w:type="paragraph" w:customStyle="1" w:styleId="Kopf">
    <w:name w:val="Kopf"/>
    <w:rsid w:val="001D5DAA"/>
    <w:pPr>
      <w:spacing w:after="0" w:line="240" w:lineRule="auto"/>
      <w:ind w:left="1843" w:hanging="1843"/>
    </w:pPr>
    <w:rPr>
      <w:rFonts w:ascii="Times New Roman" w:eastAsia="Times New Roman" w:hAnsi="Times New Roman" w:cs="Times New Roman"/>
      <w:sz w:val="24"/>
      <w:szCs w:val="20"/>
      <w:lang w:val="de-DE" w:eastAsia="de-DE"/>
    </w:rPr>
  </w:style>
  <w:style w:type="paragraph" w:customStyle="1" w:styleId="Beilagen">
    <w:name w:val="Beilagen"/>
    <w:rsid w:val="005F5508"/>
    <w:pPr>
      <w:spacing w:after="0" w:line="300" w:lineRule="exact"/>
      <w:ind w:left="425" w:hanging="425"/>
      <w:jc w:val="both"/>
    </w:pPr>
    <w:rPr>
      <w:rFonts w:ascii="Times New Roman" w:eastAsia="Times New Roman" w:hAnsi="Times New Roman" w:cs="Times New Roman"/>
      <w:szCs w:val="20"/>
      <w:lang w:val="en-GB" w:eastAsia="de-DE"/>
    </w:rPr>
  </w:style>
  <w:style w:type="paragraph" w:customStyle="1" w:styleId="Abschlu">
    <w:name w:val="Abschluß"/>
    <w:basedOn w:val="Standard"/>
    <w:rsid w:val="001D5DAA"/>
    <w:pPr>
      <w:tabs>
        <w:tab w:val="center" w:pos="5245"/>
        <w:tab w:val="center" w:pos="7088"/>
      </w:tabs>
      <w:spacing w:before="0" w:line="240" w:lineRule="auto"/>
    </w:pPr>
    <w:rPr>
      <w:rFonts w:eastAsia="Times New Roman" w:cs="Times New Roman"/>
      <w:sz w:val="26"/>
      <w:szCs w:val="20"/>
    </w:rPr>
  </w:style>
  <w:style w:type="paragraph" w:customStyle="1" w:styleId="Receiver">
    <w:name w:val="Receiver"/>
    <w:rsid w:val="002D225C"/>
    <w:pPr>
      <w:spacing w:after="0" w:line="300" w:lineRule="exact"/>
    </w:pPr>
    <w:rPr>
      <w:rFonts w:ascii="Times New Roman" w:hAnsi="Times New Roman"/>
      <w:sz w:val="24"/>
      <w:szCs w:val="24"/>
    </w:rPr>
  </w:style>
  <w:style w:type="paragraph" w:customStyle="1" w:styleId="CMSRRHBlock">
    <w:name w:val="CMSRRHBlock"/>
    <w:rsid w:val="004611CC"/>
    <w:rPr>
      <w:rFonts w:ascii="Times New Roman" w:eastAsia="Times New Roman" w:hAnsi="Times New Roman" w:cs="Times New Roman"/>
      <w:b/>
      <w:sz w:val="15"/>
      <w:szCs w:val="15"/>
      <w:lang w:val="de-DE" w:eastAsia="de-DE"/>
    </w:rPr>
  </w:style>
  <w:style w:type="paragraph" w:customStyle="1" w:styleId="H1">
    <w:name w:val="H 1"/>
    <w:basedOn w:val="Standard"/>
    <w:next w:val="I1"/>
    <w:qFormat/>
    <w:rsid w:val="00E33F5C"/>
    <w:pPr>
      <w:numPr>
        <w:numId w:val="7"/>
      </w:numPr>
      <w:spacing w:before="240" w:after="120"/>
      <w:outlineLvl w:val="0"/>
    </w:pPr>
    <w:rPr>
      <w:b/>
    </w:rPr>
  </w:style>
  <w:style w:type="paragraph" w:customStyle="1" w:styleId="H2">
    <w:name w:val="H 2"/>
    <w:basedOn w:val="H1"/>
    <w:next w:val="I2"/>
    <w:qFormat/>
    <w:rsid w:val="00E33F5C"/>
    <w:pPr>
      <w:numPr>
        <w:ilvl w:val="1"/>
      </w:numPr>
      <w:spacing w:after="0"/>
      <w:outlineLvl w:val="1"/>
    </w:pPr>
    <w:rPr>
      <w:i/>
    </w:rPr>
  </w:style>
  <w:style w:type="paragraph" w:customStyle="1" w:styleId="H3">
    <w:name w:val="H 3"/>
    <w:basedOn w:val="H2"/>
    <w:next w:val="I3"/>
    <w:qFormat/>
    <w:rsid w:val="00E33F5C"/>
    <w:pPr>
      <w:numPr>
        <w:ilvl w:val="2"/>
      </w:numPr>
      <w:spacing w:before="120"/>
      <w:outlineLvl w:val="2"/>
    </w:pPr>
    <w:rPr>
      <w:b w:val="0"/>
    </w:rPr>
  </w:style>
  <w:style w:type="paragraph" w:customStyle="1" w:styleId="H4">
    <w:name w:val="H 4"/>
    <w:basedOn w:val="H3"/>
    <w:next w:val="I4"/>
    <w:qFormat/>
    <w:rsid w:val="00E33F5C"/>
    <w:pPr>
      <w:numPr>
        <w:ilvl w:val="3"/>
      </w:numPr>
      <w:outlineLvl w:val="3"/>
    </w:pPr>
  </w:style>
  <w:style w:type="paragraph" w:customStyle="1" w:styleId="I1">
    <w:name w:val="I 1"/>
    <w:basedOn w:val="Standard"/>
    <w:qFormat/>
    <w:rsid w:val="00E33F5C"/>
    <w:pPr>
      <w:spacing w:after="120"/>
    </w:pPr>
  </w:style>
  <w:style w:type="paragraph" w:customStyle="1" w:styleId="I2">
    <w:name w:val="I 2"/>
    <w:basedOn w:val="I1"/>
    <w:qFormat/>
    <w:rsid w:val="00E33F5C"/>
  </w:style>
  <w:style w:type="paragraph" w:customStyle="1" w:styleId="I3">
    <w:name w:val="I 3"/>
    <w:basedOn w:val="I2"/>
    <w:qFormat/>
    <w:rsid w:val="00E33F5C"/>
  </w:style>
  <w:style w:type="paragraph" w:customStyle="1" w:styleId="I4">
    <w:name w:val="I 4"/>
    <w:basedOn w:val="I3"/>
    <w:qFormat/>
    <w:rsid w:val="00E33F5C"/>
    <w:pPr>
      <w:ind w:left="709"/>
    </w:pPr>
  </w:style>
  <w:style w:type="paragraph" w:customStyle="1" w:styleId="IlNote">
    <w:name w:val="Il Note"/>
    <w:basedOn w:val="Standard"/>
    <w:next w:val="Standard"/>
    <w:qFormat/>
    <w:rsid w:val="00E33F5C"/>
    <w:pPr>
      <w:numPr>
        <w:numId w:val="8"/>
      </w:numPr>
      <w:pBdr>
        <w:top w:val="single" w:sz="4" w:space="2" w:color="000000" w:shadow="1"/>
        <w:left w:val="single" w:sz="4" w:space="4" w:color="000000" w:shadow="1"/>
        <w:bottom w:val="single" w:sz="4" w:space="3" w:color="000000" w:shadow="1"/>
        <w:right w:val="single" w:sz="4" w:space="4" w:color="000000" w:shadow="1"/>
      </w:pBdr>
      <w:spacing w:before="180" w:after="120" w:line="340" w:lineRule="exact"/>
    </w:pPr>
    <w:rPr>
      <w:rFonts w:eastAsia="Times New Roman" w:cs="Times New Roman"/>
      <w:color w:val="FF0000"/>
      <w:szCs w:val="24"/>
      <w:lang w:val="en-GB" w:eastAsia="de-DE"/>
    </w:rPr>
  </w:style>
  <w:style w:type="character" w:customStyle="1" w:styleId="berschrift3Zchn">
    <w:name w:val="Überschrift 3 Zchn"/>
    <w:basedOn w:val="Absatz-Standardschriftart"/>
    <w:link w:val="berschrift3"/>
    <w:uiPriority w:val="9"/>
    <w:semiHidden/>
    <w:rsid w:val="00FB4A6E"/>
    <w:rPr>
      <w:rFonts w:asciiTheme="majorHAnsi" w:eastAsiaTheme="majorEastAsia" w:hAnsiTheme="majorHAnsi" w:cstheme="majorBidi"/>
      <w:b/>
      <w:bCs/>
      <w:color w:val="4F81BD" w:themeColor="accent1"/>
      <w:sz w:val="24"/>
    </w:rPr>
  </w:style>
  <w:style w:type="character" w:customStyle="1" w:styleId="berschrift4Zchn">
    <w:name w:val="Überschrift 4 Zchn"/>
    <w:basedOn w:val="Absatz-Standardschriftart"/>
    <w:link w:val="berschrift4"/>
    <w:uiPriority w:val="9"/>
    <w:semiHidden/>
    <w:rsid w:val="00FB4A6E"/>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FB4A6E"/>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FB4A6E"/>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FB4A6E"/>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FB4A6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B4A6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B4A6E"/>
    <w:pPr>
      <w:spacing w:before="0" w:after="200" w:line="240" w:lineRule="auto"/>
    </w:pPr>
    <w:rPr>
      <w:b/>
      <w:bCs/>
      <w:color w:val="4F81BD" w:themeColor="accent1"/>
      <w:sz w:val="18"/>
      <w:szCs w:val="18"/>
    </w:rPr>
  </w:style>
  <w:style w:type="character" w:styleId="Fett">
    <w:name w:val="Strong"/>
    <w:uiPriority w:val="22"/>
    <w:qFormat/>
    <w:rsid w:val="00FB4A6E"/>
    <w:rPr>
      <w:b/>
      <w:bCs/>
    </w:rPr>
  </w:style>
  <w:style w:type="character" w:styleId="Hervorhebung">
    <w:name w:val="Emphasis"/>
    <w:aliases w:val="kursiv"/>
    <w:basedOn w:val="Absatz-Standardschriftart"/>
    <w:uiPriority w:val="20"/>
    <w:qFormat/>
    <w:rsid w:val="00E33F5C"/>
    <w:rPr>
      <w:i/>
      <w:iCs/>
    </w:rPr>
  </w:style>
  <w:style w:type="paragraph" w:styleId="KeinLeerraum">
    <w:name w:val="No Spacing"/>
    <w:basedOn w:val="Standard"/>
    <w:link w:val="KeinLeerraumZchn"/>
    <w:uiPriority w:val="1"/>
    <w:qFormat/>
    <w:rsid w:val="00FB4A6E"/>
    <w:pPr>
      <w:spacing w:before="0" w:line="240" w:lineRule="auto"/>
    </w:pPr>
  </w:style>
  <w:style w:type="character" w:customStyle="1" w:styleId="KeinLeerraumZchn">
    <w:name w:val="Kein Leerraum Zchn"/>
    <w:basedOn w:val="Absatz-Standardschriftart"/>
    <w:link w:val="KeinLeerraum"/>
    <w:uiPriority w:val="1"/>
    <w:rsid w:val="00FB4A6E"/>
    <w:rPr>
      <w:rFonts w:ascii="Times New Roman" w:hAnsi="Times New Roman"/>
      <w:sz w:val="24"/>
    </w:rPr>
  </w:style>
  <w:style w:type="paragraph" w:styleId="Listenabsatz">
    <w:name w:val="List Paragraph"/>
    <w:basedOn w:val="Standard"/>
    <w:link w:val="ListenabsatzZchn"/>
    <w:uiPriority w:val="34"/>
    <w:rsid w:val="00FB4A6E"/>
    <w:pPr>
      <w:ind w:left="720"/>
      <w:contextualSpacing/>
    </w:pPr>
  </w:style>
  <w:style w:type="character" w:customStyle="1" w:styleId="ListenabsatzZchn">
    <w:name w:val="Listenabsatz Zchn"/>
    <w:basedOn w:val="Absatz-Standardschriftart"/>
    <w:link w:val="Listenabsatz"/>
    <w:uiPriority w:val="34"/>
    <w:rsid w:val="00FB4A6E"/>
    <w:rPr>
      <w:rFonts w:ascii="Times New Roman" w:hAnsi="Times New Roman"/>
      <w:sz w:val="24"/>
    </w:rPr>
  </w:style>
  <w:style w:type="character" w:customStyle="1" w:styleId="berschrift1Zchn">
    <w:name w:val="Überschrift 1 Zchn"/>
    <w:basedOn w:val="Absatz-Standardschriftart"/>
    <w:link w:val="berschrift1"/>
    <w:uiPriority w:val="9"/>
    <w:rsid w:val="00616CDB"/>
    <w:rPr>
      <w:rFonts w:asciiTheme="majorHAnsi" w:eastAsiaTheme="majorEastAsia" w:hAnsiTheme="majorHAnsi" w:cstheme="majorBidi"/>
      <w:b/>
      <w:bCs/>
      <w:color w:val="365F91" w:themeColor="accent1" w:themeShade="BF"/>
      <w:sz w:val="28"/>
      <w:szCs w:val="28"/>
      <w:lang w:val="en-GB" w:eastAsia="de-DE"/>
    </w:rPr>
  </w:style>
  <w:style w:type="paragraph" w:styleId="Inhaltsverzeichnisberschrift">
    <w:name w:val="TOC Heading"/>
    <w:basedOn w:val="berschrift1"/>
    <w:next w:val="Standard"/>
    <w:uiPriority w:val="39"/>
    <w:semiHidden/>
    <w:unhideWhenUsed/>
    <w:qFormat/>
    <w:rsid w:val="00FB4A6E"/>
    <w:pPr>
      <w:outlineLvl w:val="9"/>
    </w:pPr>
  </w:style>
  <w:style w:type="paragraph" w:customStyle="1" w:styleId="CMSRRHStamp">
    <w:name w:val="CMSRRHStamp"/>
    <w:rsid w:val="00143ACB"/>
    <w:pPr>
      <w:tabs>
        <w:tab w:val="center" w:pos="4536"/>
      </w:tabs>
      <w:spacing w:after="0" w:line="300" w:lineRule="exact"/>
      <w:jc w:val="center"/>
    </w:pPr>
    <w:rPr>
      <w:rFonts w:ascii="Times New Roman" w:eastAsia="Times New Roman" w:hAnsi="Times New Roman" w:cs="Times New Roman"/>
      <w:sz w:val="24"/>
      <w:szCs w:val="24"/>
      <w:lang w:val="en-GB" w:eastAsia="de-DE"/>
    </w:rPr>
  </w:style>
  <w:style w:type="paragraph" w:customStyle="1" w:styleId="Fuzeile1">
    <w:name w:val="Fußzeile1"/>
    <w:rsid w:val="00E25A52"/>
    <w:pPr>
      <w:pBdr>
        <w:top w:val="single" w:sz="4" w:space="0" w:color="auto"/>
        <w:left w:val="single" w:sz="6" w:space="0" w:color="FFFFFF"/>
        <w:bottom w:val="single" w:sz="6" w:space="0" w:color="FFFFFF"/>
        <w:right w:val="single" w:sz="6" w:space="0" w:color="FFFFFF"/>
      </w:pBdr>
      <w:spacing w:before="60" w:after="0" w:line="160" w:lineRule="exact"/>
      <w:jc w:val="both"/>
    </w:pPr>
    <w:rPr>
      <w:rFonts w:ascii="Times New Roman" w:hAnsi="Times New Roman" w:cs="Times New Roman"/>
      <w:sz w:val="13"/>
      <w:szCs w:val="13"/>
      <w:lang w:val="en-GB" w:eastAsia="de-DE"/>
    </w:rPr>
  </w:style>
  <w:style w:type="paragraph" w:customStyle="1" w:styleId="Subject">
    <w:name w:val="Subject"/>
    <w:rsid w:val="0006540A"/>
    <w:pPr>
      <w:spacing w:after="0" w:line="300" w:lineRule="exact"/>
    </w:pPr>
    <w:rPr>
      <w:rFonts w:ascii="Times New Roman" w:hAnsi="Times New Roman"/>
      <w:sz w:val="24"/>
      <w:szCs w:val="24"/>
    </w:rPr>
  </w:style>
  <w:style w:type="paragraph" w:styleId="Funotentext">
    <w:name w:val="footnote text"/>
    <w:basedOn w:val="Standard"/>
    <w:link w:val="FunotentextZchn"/>
    <w:uiPriority w:val="99"/>
    <w:qFormat/>
    <w:rsid w:val="00E33F5C"/>
    <w:pPr>
      <w:spacing w:line="240" w:lineRule="auto"/>
      <w:ind w:left="142" w:hanging="142"/>
    </w:pPr>
    <w:rPr>
      <w:sz w:val="20"/>
      <w:szCs w:val="20"/>
    </w:rPr>
  </w:style>
  <w:style w:type="character" w:customStyle="1" w:styleId="FunotentextZchn">
    <w:name w:val="Fußnotentext Zchn"/>
    <w:basedOn w:val="Absatz-Standardschriftart"/>
    <w:link w:val="Funotentext"/>
    <w:uiPriority w:val="99"/>
    <w:rsid w:val="00E33F5C"/>
    <w:rPr>
      <w:rFonts w:ascii="Times New Roman" w:hAnsi="Times New Roman"/>
      <w:sz w:val="20"/>
      <w:szCs w:val="20"/>
    </w:rPr>
  </w:style>
  <w:style w:type="character" w:styleId="Funotenzeichen">
    <w:name w:val="footnote reference"/>
    <w:basedOn w:val="Absatz-Standardschriftart"/>
    <w:uiPriority w:val="99"/>
    <w:semiHidden/>
    <w:unhideWhenUsed/>
    <w:rsid w:val="008A3DE7"/>
    <w:rPr>
      <w:vertAlign w:val="superscript"/>
    </w:rPr>
  </w:style>
  <w:style w:type="table" w:styleId="Tabellenraster">
    <w:name w:val="Table Grid"/>
    <w:basedOn w:val="NormaleTabelle"/>
    <w:rsid w:val="00FB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B794E"/>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94E"/>
    <w:rPr>
      <w:rFonts w:ascii="Tahoma" w:hAnsi="Tahoma" w:cs="Tahoma"/>
      <w:sz w:val="16"/>
      <w:szCs w:val="16"/>
      <w:lang w:val="en-GB" w:eastAsia="de-DE"/>
    </w:rPr>
  </w:style>
  <w:style w:type="paragraph" w:customStyle="1" w:styleId="Memoheader">
    <w:name w:val="Memoheader"/>
    <w:rsid w:val="007F6A41"/>
    <w:pPr>
      <w:pBdr>
        <w:between w:val="dashSmallGap" w:sz="4" w:space="1" w:color="766A62"/>
      </w:pBdr>
      <w:tabs>
        <w:tab w:val="left" w:pos="1428"/>
        <w:tab w:val="left" w:pos="9372"/>
      </w:tabs>
      <w:spacing w:after="120"/>
      <w:ind w:right="-18"/>
    </w:pPr>
    <w:rPr>
      <w:rFonts w:ascii="Times New Roman" w:eastAsia="Times New Roman" w:hAnsi="Times New Roman" w:cs="Times New Roman"/>
      <w:bCs/>
      <w:sz w:val="24"/>
      <w:szCs w:val="24"/>
      <w:lang w:eastAsia="de-DE"/>
    </w:rPr>
  </w:style>
  <w:style w:type="paragraph" w:customStyle="1" w:styleId="Randnotiz">
    <w:name w:val="Randnotiz"/>
    <w:basedOn w:val="Standard"/>
    <w:qFormat/>
    <w:rsid w:val="00E33F5C"/>
    <w:pPr>
      <w:numPr>
        <w:numId w:val="9"/>
      </w:numPr>
    </w:pPr>
  </w:style>
  <w:style w:type="character" w:styleId="Seitenzahl">
    <w:name w:val="page number"/>
    <w:basedOn w:val="Absatz-Standardschriftart"/>
    <w:rsid w:val="001B0FBE"/>
  </w:style>
  <w:style w:type="paragraph" w:styleId="Textkrper">
    <w:name w:val="Body Text"/>
    <w:basedOn w:val="Standard"/>
    <w:link w:val="TextkrperZchn"/>
    <w:semiHidden/>
    <w:rsid w:val="001B0FBE"/>
    <w:pPr>
      <w:spacing w:before="240" w:after="120"/>
    </w:pPr>
    <w:rPr>
      <w:rFonts w:asciiTheme="minorHAnsi" w:eastAsia="Times New Roman" w:hAnsiTheme="minorHAnsi" w:cs="Times New Roman"/>
      <w:sz w:val="22"/>
      <w:szCs w:val="24"/>
      <w:lang w:val="en-GB" w:eastAsia="de-DE"/>
    </w:rPr>
  </w:style>
  <w:style w:type="character" w:customStyle="1" w:styleId="TextkrperZchn">
    <w:name w:val="Textkörper Zchn"/>
    <w:basedOn w:val="Absatz-Standardschriftart"/>
    <w:link w:val="Textkrper"/>
    <w:semiHidden/>
    <w:rsid w:val="001B0FBE"/>
    <w:rPr>
      <w:rFonts w:eastAsia="Times New Roman" w:cs="Times New Roman"/>
      <w:szCs w:val="24"/>
      <w:lang w:val="en-GB" w:eastAsia="de-DE"/>
    </w:rPr>
  </w:style>
  <w:style w:type="character" w:styleId="Hyperlink">
    <w:name w:val="Hyperlink"/>
    <w:basedOn w:val="Absatz-Standardschriftart"/>
    <w:uiPriority w:val="99"/>
    <w:rsid w:val="00E02598"/>
    <w:rPr>
      <w:color w:val="0000FF"/>
      <w:u w:val="single"/>
    </w:rPr>
  </w:style>
  <w:style w:type="character" w:customStyle="1" w:styleId="text11">
    <w:name w:val="text11"/>
    <w:basedOn w:val="Absatz-Standardschriftart"/>
    <w:rsid w:val="00CD28C1"/>
    <w:rPr>
      <w:rFonts w:ascii="Verdana" w:hAnsi="Verdana" w:hint="default"/>
      <w:b w:val="0"/>
      <w:bCs w:val="0"/>
      <w:i w:val="0"/>
      <w:iCs w:val="0"/>
      <w:cap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rrh.com" TargetMode="External"/><Relationship Id="rId13" Type="http://schemas.openxmlformats.org/officeDocument/2006/relationships/hyperlink" Target="http://www.cms-rrh.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cms-rrh.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CE6911.79B21EC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og.cms-rrh.com/" TargetMode="External"/><Relationship Id="rId14" Type="http://schemas.openxmlformats.org/officeDocument/2006/relationships/hyperlink" Target="http://www.cms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E498D-BAD9-405B-8DA9-61E4400D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5913</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Fax German</vt:lpstr>
    </vt:vector>
  </TitlesOfParts>
  <Manager>CMS Reich-Rohwig Hainz Rechtsanwälte GmbH</Manager>
  <Company>CMS Reich-Rohwig Hainz Rechtsanwälte GmbH</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German</dc:title>
  <dc:creator>CMS</dc:creator>
  <cp:lastModifiedBy>Breitenecker Christoph</cp:lastModifiedBy>
  <cp:revision>2</cp:revision>
  <cp:lastPrinted>2014-06-25T08:56:00Z</cp:lastPrinted>
  <dcterms:created xsi:type="dcterms:W3CDTF">2014-10-13T11:45:00Z</dcterms:created>
  <dcterms:modified xsi:type="dcterms:W3CDTF">2014-10-13T11:45:00Z</dcterms:modified>
</cp:coreProperties>
</file>